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8AA3F" w14:textId="20956BBF" w:rsidR="00F03293" w:rsidRDefault="00F60941" w:rsidP="00F60941">
      <w:pPr>
        <w:jc w:val="center"/>
      </w:pPr>
      <w:r>
        <w:rPr>
          <w:noProof/>
        </w:rPr>
        <w:drawing>
          <wp:inline distT="0" distB="0" distL="0" distR="0" wp14:anchorId="59A6956D" wp14:editId="251D9704">
            <wp:extent cx="2120900" cy="1103179"/>
            <wp:effectExtent l="0" t="0" r="0" b="190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ith white space cropped.jpg"/>
                    <pic:cNvPicPr/>
                  </pic:nvPicPr>
                  <pic:blipFill>
                    <a:blip r:embed="rId5">
                      <a:extLst>
                        <a:ext uri="{28A0092B-C50C-407E-A947-70E740481C1C}">
                          <a14:useLocalDpi xmlns:a14="http://schemas.microsoft.com/office/drawing/2010/main" val="0"/>
                        </a:ext>
                      </a:extLst>
                    </a:blip>
                    <a:stretch>
                      <a:fillRect/>
                    </a:stretch>
                  </pic:blipFill>
                  <pic:spPr>
                    <a:xfrm>
                      <a:off x="0" y="0"/>
                      <a:ext cx="2139986" cy="1113107"/>
                    </a:xfrm>
                    <a:prstGeom prst="rect">
                      <a:avLst/>
                    </a:prstGeom>
                  </pic:spPr>
                </pic:pic>
              </a:graphicData>
            </a:graphic>
          </wp:inline>
        </w:drawing>
      </w:r>
    </w:p>
    <w:p w14:paraId="25C034D5" w14:textId="13BFA84E" w:rsidR="00F60941" w:rsidRDefault="00F60941" w:rsidP="00D81925">
      <w:pPr>
        <w:jc w:val="center"/>
        <w:rPr>
          <w:b/>
          <w:bCs/>
          <w:u w:val="single"/>
        </w:rPr>
      </w:pPr>
      <w:r>
        <w:rPr>
          <w:b/>
          <w:bCs/>
          <w:u w:val="single"/>
        </w:rPr>
        <w:t>Camp Polk Groundwater Data Analysis Activity</w:t>
      </w:r>
    </w:p>
    <w:p w14:paraId="485D23E6" w14:textId="4A836BAD" w:rsidR="00F87C2B" w:rsidRDefault="00F87C2B" w:rsidP="00F60941">
      <w:pPr>
        <w:jc w:val="both"/>
        <w:rPr>
          <w:u w:val="single"/>
        </w:rPr>
      </w:pPr>
    </w:p>
    <w:p w14:paraId="2EC6AE88" w14:textId="143A488B" w:rsidR="00F87C2B" w:rsidRPr="00F87C2B" w:rsidRDefault="00F87C2B" w:rsidP="00F60941">
      <w:pPr>
        <w:jc w:val="both"/>
        <w:rPr>
          <w:sz w:val="22"/>
          <w:szCs w:val="22"/>
        </w:rPr>
      </w:pPr>
      <w:r w:rsidRPr="00F87C2B">
        <w:rPr>
          <w:sz w:val="22"/>
          <w:szCs w:val="22"/>
        </w:rPr>
        <w:t xml:space="preserve">Groundwater is an important resource in Central Oregon. Our rivers, lakes, and wetlands depend on the recharge from groundwater aquifers to stay full through the dry summer months. But </w:t>
      </w:r>
      <w:r>
        <w:rPr>
          <w:sz w:val="22"/>
          <w:szCs w:val="22"/>
        </w:rPr>
        <w:t>w</w:t>
      </w:r>
      <w:r w:rsidRPr="00F87C2B">
        <w:rPr>
          <w:sz w:val="22"/>
          <w:szCs w:val="22"/>
        </w:rPr>
        <w:t xml:space="preserve">hat is </w:t>
      </w:r>
      <w:r>
        <w:rPr>
          <w:sz w:val="22"/>
          <w:szCs w:val="22"/>
        </w:rPr>
        <w:t>g</w:t>
      </w:r>
      <w:r w:rsidRPr="00F87C2B">
        <w:rPr>
          <w:sz w:val="22"/>
          <w:szCs w:val="22"/>
        </w:rPr>
        <w:t>roundwater?</w:t>
      </w:r>
    </w:p>
    <w:p w14:paraId="4AAF4C62" w14:textId="77777777" w:rsidR="00F87C2B" w:rsidRPr="00F87C2B" w:rsidRDefault="00F87C2B" w:rsidP="00F60941">
      <w:pPr>
        <w:jc w:val="both"/>
      </w:pPr>
    </w:p>
    <w:p w14:paraId="61028B80" w14:textId="77777777" w:rsidR="00F60941" w:rsidRPr="00F60941" w:rsidRDefault="00F60941" w:rsidP="00F60941">
      <w:pPr>
        <w:pStyle w:val="NormalWeb"/>
        <w:numPr>
          <w:ilvl w:val="0"/>
          <w:numId w:val="2"/>
        </w:numPr>
        <w:spacing w:before="0" w:beforeAutospacing="0" w:after="0" w:afterAutospacing="0"/>
        <w:rPr>
          <w:rFonts w:asciiTheme="minorHAnsi" w:hAnsiTheme="minorHAnsi" w:cstheme="minorHAnsi"/>
          <w:color w:val="3C3736"/>
          <w:sz w:val="22"/>
          <w:szCs w:val="22"/>
        </w:rPr>
      </w:pPr>
      <w:r w:rsidRPr="00F60941">
        <w:rPr>
          <w:rFonts w:asciiTheme="minorHAnsi" w:hAnsiTheme="minorHAnsi" w:cstheme="minorHAnsi"/>
          <w:color w:val="3C3736"/>
          <w:sz w:val="22"/>
          <w:szCs w:val="22"/>
        </w:rPr>
        <w:t>Groundwater</w:t>
      </w:r>
      <w:r w:rsidRPr="00F60941">
        <w:rPr>
          <w:rFonts w:asciiTheme="minorHAnsi" w:hAnsiTheme="minorHAnsi" w:cstheme="minorHAnsi"/>
          <w:color w:val="3C3736"/>
          <w:sz w:val="22"/>
          <w:szCs w:val="22"/>
          <w:shd w:val="clear" w:color="auto" w:fill="FFFFFF"/>
        </w:rPr>
        <w:t> is the water found underground in the cracks and spaces in soil, sand and rock. It is stored in and moves slowly through geologic formations of soil, sand and rocks called aquifers.</w:t>
      </w:r>
      <w:r w:rsidRPr="00F60941">
        <w:rPr>
          <w:rFonts w:asciiTheme="minorHAnsi" w:hAnsiTheme="minorHAnsi" w:cstheme="minorHAnsi"/>
          <w:color w:val="3C3736"/>
          <w:sz w:val="22"/>
          <w:szCs w:val="22"/>
        </w:rPr>
        <w:t xml:space="preserve"> </w:t>
      </w:r>
    </w:p>
    <w:p w14:paraId="6CF6E170" w14:textId="182BBD1C" w:rsidR="00F60941" w:rsidRPr="00F60941" w:rsidRDefault="00F60941" w:rsidP="00F60941">
      <w:pPr>
        <w:pStyle w:val="NormalWeb"/>
        <w:numPr>
          <w:ilvl w:val="0"/>
          <w:numId w:val="2"/>
        </w:numPr>
        <w:spacing w:before="0" w:beforeAutospacing="0" w:after="0" w:afterAutospacing="0"/>
        <w:rPr>
          <w:rFonts w:asciiTheme="minorHAnsi" w:hAnsiTheme="minorHAnsi" w:cstheme="minorHAnsi"/>
          <w:color w:val="3C3736"/>
          <w:sz w:val="22"/>
          <w:szCs w:val="22"/>
        </w:rPr>
      </w:pPr>
      <w:r w:rsidRPr="00F60941">
        <w:rPr>
          <w:rFonts w:asciiTheme="minorHAnsi" w:hAnsiTheme="minorHAnsi" w:cstheme="minorHAnsi"/>
          <w:color w:val="3C3736"/>
          <w:sz w:val="22"/>
          <w:szCs w:val="22"/>
        </w:rPr>
        <w:t>Groundwater supplies drinking water for 51% of the total U.S. population and 99% of the rural population.</w:t>
      </w:r>
    </w:p>
    <w:p w14:paraId="0F3D2941" w14:textId="2C260084" w:rsidR="00F60941" w:rsidRPr="00D81925" w:rsidRDefault="00F60941" w:rsidP="00D81925">
      <w:pPr>
        <w:numPr>
          <w:ilvl w:val="0"/>
          <w:numId w:val="2"/>
        </w:numPr>
        <w:rPr>
          <w:rFonts w:eastAsia="Times New Roman" w:cstheme="minorHAnsi"/>
          <w:color w:val="3C3736"/>
          <w:sz w:val="22"/>
          <w:szCs w:val="22"/>
        </w:rPr>
      </w:pPr>
      <w:r w:rsidRPr="00F60941">
        <w:rPr>
          <w:rFonts w:eastAsia="Times New Roman" w:cstheme="minorHAnsi"/>
          <w:color w:val="3C3736"/>
          <w:sz w:val="22"/>
          <w:szCs w:val="22"/>
        </w:rPr>
        <w:t>Groundwater helps grow our food. 64% of groundwater is used for irrigation to grow crops.</w:t>
      </w:r>
    </w:p>
    <w:p w14:paraId="16FFC239" w14:textId="77777777" w:rsidR="00D81925" w:rsidRDefault="00D81925" w:rsidP="00D81925">
      <w:pPr>
        <w:ind w:left="360"/>
        <w:rPr>
          <w:rFonts w:ascii="Arial" w:eastAsia="Times New Roman" w:hAnsi="Arial" w:cs="Arial"/>
          <w:b/>
          <w:bCs/>
          <w:color w:val="6D6E71"/>
        </w:rPr>
      </w:pPr>
    </w:p>
    <w:p w14:paraId="09E5DFE5" w14:textId="133CC988" w:rsidR="00D81925" w:rsidRPr="00D81925" w:rsidRDefault="00D81925" w:rsidP="00D81925">
      <w:pPr>
        <w:rPr>
          <w:rFonts w:ascii="Times New Roman" w:eastAsia="Times New Roman" w:hAnsi="Times New Roman" w:cs="Times New Roman"/>
        </w:rPr>
      </w:pPr>
      <w:r>
        <w:rPr>
          <w:rFonts w:eastAsia="Times New Roman" w:cstheme="minorHAnsi"/>
          <w:color w:val="000000" w:themeColor="text1"/>
          <w:sz w:val="22"/>
          <w:szCs w:val="22"/>
        </w:rPr>
        <w:t xml:space="preserve">Camp Polk Meadow Preserve was protected by the Deschutes Land Trust in 2000. The </w:t>
      </w:r>
      <w:proofErr w:type="gramStart"/>
      <w:r>
        <w:rPr>
          <w:rFonts w:eastAsia="Times New Roman" w:cstheme="minorHAnsi"/>
          <w:color w:val="000000" w:themeColor="text1"/>
          <w:sz w:val="22"/>
          <w:szCs w:val="22"/>
        </w:rPr>
        <w:t>151 acre</w:t>
      </w:r>
      <w:proofErr w:type="gramEnd"/>
      <w:r>
        <w:rPr>
          <w:rFonts w:eastAsia="Times New Roman" w:cstheme="minorHAnsi"/>
          <w:color w:val="000000" w:themeColor="text1"/>
          <w:sz w:val="22"/>
          <w:szCs w:val="22"/>
        </w:rPr>
        <w:t xml:space="preserve"> preserve is</w:t>
      </w:r>
      <w:r w:rsidRPr="00D81925">
        <w:rPr>
          <w:rFonts w:eastAsia="Times New Roman" w:cstheme="minorHAnsi"/>
          <w:color w:val="000000" w:themeColor="text1"/>
          <w:sz w:val="22"/>
          <w:szCs w:val="22"/>
        </w:rPr>
        <w:t xml:space="preserve"> </w:t>
      </w:r>
      <w:r>
        <w:rPr>
          <w:rFonts w:eastAsia="Times New Roman" w:cstheme="minorHAnsi"/>
          <w:color w:val="000000" w:themeColor="text1"/>
          <w:sz w:val="22"/>
          <w:szCs w:val="22"/>
        </w:rPr>
        <w:t>l</w:t>
      </w:r>
      <w:r w:rsidRPr="00D81925">
        <w:rPr>
          <w:rFonts w:eastAsia="Times New Roman" w:cstheme="minorHAnsi"/>
          <w:color w:val="000000" w:themeColor="text1"/>
          <w:sz w:val="22"/>
          <w:szCs w:val="22"/>
        </w:rPr>
        <w:t>ocated near Sisters, Oregon</w:t>
      </w:r>
      <w:r>
        <w:rPr>
          <w:rFonts w:eastAsia="Times New Roman" w:cstheme="minorHAnsi"/>
          <w:color w:val="000000" w:themeColor="text1"/>
          <w:sz w:val="22"/>
          <w:szCs w:val="22"/>
        </w:rPr>
        <w:t>. T</w:t>
      </w:r>
      <w:r w:rsidRPr="00D81925">
        <w:rPr>
          <w:rFonts w:eastAsia="Times New Roman" w:cstheme="minorHAnsi"/>
          <w:color w:val="000000" w:themeColor="text1"/>
          <w:sz w:val="22"/>
          <w:szCs w:val="22"/>
        </w:rPr>
        <w:t>he Preserve contains approximately 1.4 miles of Whychus Creek with wetlands, meadows, aspen groves and ponderosa pine stands</w:t>
      </w:r>
      <w:r w:rsidRPr="00D81925">
        <w:rPr>
          <w:rFonts w:ascii="Arial" w:eastAsia="Times New Roman" w:hAnsi="Arial" w:cs="Arial"/>
          <w:b/>
          <w:bCs/>
          <w:color w:val="6D6E71"/>
        </w:rPr>
        <w:t>.</w:t>
      </w:r>
    </w:p>
    <w:p w14:paraId="098DDD3A" w14:textId="12796FB8" w:rsidR="00F60941" w:rsidRPr="00F60941" w:rsidRDefault="00F60941" w:rsidP="00F60941">
      <w:pPr>
        <w:pStyle w:val="NormalWeb"/>
        <w:rPr>
          <w:rFonts w:asciiTheme="minorHAnsi" w:hAnsiTheme="minorHAnsi" w:cstheme="minorHAnsi"/>
          <w:sz w:val="22"/>
          <w:szCs w:val="22"/>
        </w:rPr>
      </w:pPr>
      <w:r w:rsidRPr="00F60941">
        <w:rPr>
          <w:rFonts w:asciiTheme="minorHAnsi" w:hAnsiTheme="minorHAnsi" w:cstheme="minorHAnsi"/>
          <w:sz w:val="22"/>
          <w:szCs w:val="22"/>
        </w:rPr>
        <w:t>In May of 2007, the UDWC installed seven monitoring wells in Camp Polk Meadow. The wells were installed in two cross sections, consisting of two and five wells. The location for the five-well cross section was selected because it is in the middle of the meadow and at the widest section of the meadow</w:t>
      </w:r>
      <w:r w:rsidR="00D81925">
        <w:rPr>
          <w:rFonts w:asciiTheme="minorHAnsi" w:hAnsiTheme="minorHAnsi" w:cstheme="minorHAnsi"/>
          <w:sz w:val="22"/>
          <w:szCs w:val="22"/>
        </w:rPr>
        <w:t xml:space="preserve"> and i</w:t>
      </w:r>
      <w:r w:rsidRPr="00F60941">
        <w:rPr>
          <w:rFonts w:asciiTheme="minorHAnsi" w:hAnsiTheme="minorHAnsi" w:cstheme="minorHAnsi"/>
          <w:sz w:val="22"/>
          <w:szCs w:val="22"/>
        </w:rPr>
        <w:t xml:space="preserve">s influenced by spring </w:t>
      </w:r>
      <w:r w:rsidR="00F87C2B">
        <w:rPr>
          <w:rFonts w:asciiTheme="minorHAnsi" w:hAnsiTheme="minorHAnsi" w:cstheme="minorHAnsi"/>
          <w:sz w:val="22"/>
          <w:szCs w:val="22"/>
        </w:rPr>
        <w:t xml:space="preserve">water </w:t>
      </w:r>
      <w:r w:rsidRPr="00F60941">
        <w:rPr>
          <w:rFonts w:asciiTheme="minorHAnsi" w:hAnsiTheme="minorHAnsi" w:cstheme="minorHAnsi"/>
          <w:sz w:val="22"/>
          <w:szCs w:val="22"/>
        </w:rPr>
        <w:t>flows from the northwest end of the meadow</w:t>
      </w:r>
      <w:r w:rsidR="00F87C2B">
        <w:rPr>
          <w:rFonts w:asciiTheme="minorHAnsi" w:hAnsiTheme="minorHAnsi" w:cstheme="minorHAnsi"/>
          <w:sz w:val="22"/>
          <w:szCs w:val="22"/>
        </w:rPr>
        <w:t>.</w:t>
      </w:r>
      <w:r w:rsidRPr="00F60941">
        <w:rPr>
          <w:rFonts w:asciiTheme="minorHAnsi" w:hAnsiTheme="minorHAnsi" w:cstheme="minorHAnsi"/>
          <w:sz w:val="22"/>
          <w:szCs w:val="22"/>
        </w:rPr>
        <w:t xml:space="preserve"> </w:t>
      </w:r>
    </w:p>
    <w:p w14:paraId="351E8691" w14:textId="1424E831" w:rsidR="00F60941" w:rsidRPr="00F60941" w:rsidRDefault="00F60941" w:rsidP="00F60941">
      <w:pPr>
        <w:spacing w:before="100" w:beforeAutospacing="1" w:after="100" w:afterAutospacing="1"/>
        <w:rPr>
          <w:rFonts w:eastAsia="Times New Roman" w:cstheme="minorHAnsi"/>
          <w:sz w:val="22"/>
          <w:szCs w:val="22"/>
        </w:rPr>
      </w:pPr>
      <w:r w:rsidRPr="00F60941">
        <w:rPr>
          <w:rFonts w:eastAsia="Times New Roman" w:cstheme="minorHAnsi"/>
          <w:sz w:val="22"/>
          <w:szCs w:val="22"/>
        </w:rPr>
        <w:t xml:space="preserve">In February 2012, </w:t>
      </w:r>
      <w:r w:rsidR="00F87C2B">
        <w:rPr>
          <w:rFonts w:eastAsia="Times New Roman" w:cstheme="minorHAnsi"/>
          <w:sz w:val="22"/>
          <w:szCs w:val="22"/>
        </w:rPr>
        <w:t xml:space="preserve">a restoration project of Camp Polk </w:t>
      </w:r>
      <w:r w:rsidR="00D81925">
        <w:rPr>
          <w:rFonts w:eastAsia="Times New Roman" w:cstheme="minorHAnsi"/>
          <w:sz w:val="22"/>
          <w:szCs w:val="22"/>
        </w:rPr>
        <w:t xml:space="preserve">Meadow </w:t>
      </w:r>
      <w:r w:rsidR="00F87C2B">
        <w:rPr>
          <w:rFonts w:eastAsia="Times New Roman" w:cstheme="minorHAnsi"/>
          <w:sz w:val="22"/>
          <w:szCs w:val="22"/>
        </w:rPr>
        <w:t xml:space="preserve">was completed, and </w:t>
      </w:r>
      <w:r w:rsidRPr="00F60941">
        <w:rPr>
          <w:rFonts w:eastAsia="Times New Roman" w:cstheme="minorHAnsi"/>
          <w:sz w:val="22"/>
          <w:szCs w:val="22"/>
        </w:rPr>
        <w:t xml:space="preserve">Whychus Creek was diverted into the restored meadow channel. The return of the creek to its historic </w:t>
      </w:r>
      <w:r w:rsidR="00F87C2B">
        <w:rPr>
          <w:rFonts w:eastAsia="Times New Roman" w:cstheme="minorHAnsi"/>
          <w:sz w:val="22"/>
          <w:szCs w:val="22"/>
        </w:rPr>
        <w:t xml:space="preserve">meandering flow was thought </w:t>
      </w:r>
      <w:r w:rsidRPr="00F60941">
        <w:rPr>
          <w:rFonts w:eastAsia="Times New Roman" w:cstheme="minorHAnsi"/>
          <w:sz w:val="22"/>
          <w:szCs w:val="22"/>
        </w:rPr>
        <w:t xml:space="preserve">to elevate the groundwater </w:t>
      </w:r>
      <w:r w:rsidR="00F87C2B">
        <w:rPr>
          <w:rFonts w:eastAsia="Times New Roman" w:cstheme="minorHAnsi"/>
          <w:sz w:val="22"/>
          <w:szCs w:val="22"/>
        </w:rPr>
        <w:t xml:space="preserve">level </w:t>
      </w:r>
      <w:r w:rsidRPr="00F60941">
        <w:rPr>
          <w:rFonts w:eastAsia="Times New Roman" w:cstheme="minorHAnsi"/>
          <w:sz w:val="22"/>
          <w:szCs w:val="22"/>
        </w:rPr>
        <w:t>in the meadow</w:t>
      </w:r>
      <w:r w:rsidR="00F87C2B">
        <w:rPr>
          <w:rFonts w:eastAsia="Times New Roman" w:cstheme="minorHAnsi"/>
          <w:sz w:val="22"/>
          <w:szCs w:val="22"/>
        </w:rPr>
        <w:t>.</w:t>
      </w:r>
    </w:p>
    <w:p w14:paraId="748A7AAC" w14:textId="77777777" w:rsidR="00F60941" w:rsidRPr="00F60941" w:rsidRDefault="00F60941" w:rsidP="00F60941">
      <w:pPr>
        <w:spacing w:before="100" w:beforeAutospacing="1" w:after="100" w:afterAutospacing="1"/>
        <w:rPr>
          <w:rFonts w:eastAsia="Times New Roman" w:cstheme="minorHAnsi"/>
          <w:sz w:val="22"/>
          <w:szCs w:val="22"/>
        </w:rPr>
      </w:pPr>
      <w:r w:rsidRPr="00F60941">
        <w:rPr>
          <w:rFonts w:eastAsia="Times New Roman" w:cstheme="minorHAnsi"/>
          <w:sz w:val="22"/>
          <w:szCs w:val="22"/>
        </w:rPr>
        <w:t xml:space="preserve">We calculate the monthly median depth to groundwater for the seven wells collectively to show how groundwater levels change in the meadow throughout the growing season. </w:t>
      </w:r>
    </w:p>
    <w:p w14:paraId="64E4BBC8" w14:textId="39BC81D7" w:rsidR="00F60941" w:rsidRDefault="00F60941" w:rsidP="00F60941">
      <w:pPr>
        <w:jc w:val="center"/>
        <w:rPr>
          <w:rFonts w:ascii="Times New Roman" w:eastAsia="Times New Roman" w:hAnsi="Times New Roman" w:cs="Times New Roman"/>
        </w:rPr>
      </w:pPr>
      <w:r w:rsidRPr="00F60941">
        <w:rPr>
          <w:rFonts w:ascii="Times New Roman" w:eastAsia="Times New Roman" w:hAnsi="Times New Roman" w:cs="Times New Roman"/>
        </w:rPr>
        <w:fldChar w:fldCharType="begin"/>
      </w:r>
      <w:r w:rsidRPr="00F60941">
        <w:rPr>
          <w:rFonts w:ascii="Times New Roman" w:eastAsia="Times New Roman" w:hAnsi="Times New Roman" w:cs="Times New Roman"/>
        </w:rPr>
        <w:instrText xml:space="preserve"> INCLUDEPICTURE "/var/folders/14/_c2lzdnn4ddc79fbrlw01n1c0000gn/T/com.microsoft.Word/WebArchiveCopyPasteTempFiles/page5image985761216" \* MERGEFORMATINET </w:instrText>
      </w:r>
      <w:r w:rsidRPr="00F60941">
        <w:rPr>
          <w:rFonts w:ascii="Times New Roman" w:eastAsia="Times New Roman" w:hAnsi="Times New Roman" w:cs="Times New Roman"/>
        </w:rPr>
        <w:fldChar w:fldCharType="separate"/>
      </w:r>
      <w:r w:rsidRPr="00F60941">
        <w:rPr>
          <w:rFonts w:ascii="Times New Roman" w:eastAsia="Times New Roman" w:hAnsi="Times New Roman" w:cs="Times New Roman"/>
          <w:noProof/>
        </w:rPr>
        <w:drawing>
          <wp:inline distT="0" distB="0" distL="0" distR="0" wp14:anchorId="0CBB23EE" wp14:editId="245A5D5D">
            <wp:extent cx="5511800" cy="3493162"/>
            <wp:effectExtent l="0" t="0" r="0" b="0"/>
            <wp:docPr id="2" name="Picture 2" descr="page5image98576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9857612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9363" cy="3497955"/>
                    </a:xfrm>
                    <a:prstGeom prst="rect">
                      <a:avLst/>
                    </a:prstGeom>
                    <a:noFill/>
                    <a:ln>
                      <a:noFill/>
                    </a:ln>
                  </pic:spPr>
                </pic:pic>
              </a:graphicData>
            </a:graphic>
          </wp:inline>
        </w:drawing>
      </w:r>
      <w:r w:rsidRPr="00F60941">
        <w:rPr>
          <w:rFonts w:ascii="Times New Roman" w:eastAsia="Times New Roman" w:hAnsi="Times New Roman" w:cs="Times New Roman"/>
        </w:rPr>
        <w:fldChar w:fldCharType="end"/>
      </w:r>
    </w:p>
    <w:p w14:paraId="0FCDF2C5" w14:textId="6AE724FD" w:rsidR="00F87C2B" w:rsidRDefault="00F87C2B" w:rsidP="00F60941">
      <w:pPr>
        <w:jc w:val="center"/>
        <w:rPr>
          <w:rFonts w:ascii="Times New Roman" w:eastAsia="Times New Roman" w:hAnsi="Times New Roman" w:cs="Times New Roman"/>
        </w:rPr>
      </w:pPr>
    </w:p>
    <w:p w14:paraId="4082EB4E" w14:textId="57835FAE" w:rsidR="00F87C2B" w:rsidRDefault="00F87C2B" w:rsidP="00F87C2B">
      <w:pPr>
        <w:rPr>
          <w:rFonts w:ascii="Times New Roman" w:eastAsia="Times New Roman" w:hAnsi="Times New Roman" w:cs="Times New Roman"/>
          <w:sz w:val="22"/>
          <w:szCs w:val="22"/>
        </w:rPr>
      </w:pPr>
      <w:r>
        <w:rPr>
          <w:rFonts w:ascii="Times New Roman" w:eastAsia="Times New Roman" w:hAnsi="Times New Roman" w:cs="Times New Roman"/>
          <w:b/>
          <w:bCs/>
        </w:rPr>
        <w:t>Step 1:</w:t>
      </w:r>
      <w:r>
        <w:rPr>
          <w:rFonts w:ascii="Times New Roman" w:eastAsia="Times New Roman" w:hAnsi="Times New Roman" w:cs="Times New Roman"/>
          <w:sz w:val="22"/>
          <w:szCs w:val="22"/>
        </w:rPr>
        <w:t xml:space="preserve"> Watch the video of Lauren </w:t>
      </w:r>
      <w:proofErr w:type="spellStart"/>
      <w:r>
        <w:rPr>
          <w:rFonts w:ascii="Times New Roman" w:eastAsia="Times New Roman" w:hAnsi="Times New Roman" w:cs="Times New Roman"/>
          <w:sz w:val="22"/>
          <w:szCs w:val="22"/>
        </w:rPr>
        <w:t>Mork</w:t>
      </w:r>
      <w:proofErr w:type="spellEnd"/>
      <w:r>
        <w:rPr>
          <w:rFonts w:ascii="Times New Roman" w:eastAsia="Times New Roman" w:hAnsi="Times New Roman" w:cs="Times New Roman"/>
          <w:sz w:val="22"/>
          <w:szCs w:val="22"/>
        </w:rPr>
        <w:t>, Program Manager for the Upper Deschutes Watershed Council, explain groundwater in Camp Polk Preserve. Follow along and answer these questions as you watch:</w:t>
      </w:r>
    </w:p>
    <w:p w14:paraId="2D4A8E5E" w14:textId="29358331" w:rsidR="00F87C2B" w:rsidRDefault="009B1564" w:rsidP="00F87C2B">
      <w:pPr>
        <w:rPr>
          <w:rFonts w:ascii="Times New Roman" w:eastAsia="Times New Roman" w:hAnsi="Times New Roman" w:cs="Times New Roman"/>
          <w:sz w:val="22"/>
          <w:szCs w:val="22"/>
        </w:rPr>
      </w:pPr>
      <w:hyperlink r:id="rId7" w:history="1">
        <w:r w:rsidRPr="009B1564">
          <w:rPr>
            <w:rStyle w:val="Hyperlink"/>
            <w:rFonts w:ascii="Times New Roman" w:eastAsia="Times New Roman" w:hAnsi="Times New Roman" w:cs="Times New Roman"/>
            <w:sz w:val="22"/>
            <w:szCs w:val="22"/>
          </w:rPr>
          <w:t>https://www.youtube.com/watch?v=mQ8tMyYSd0A</w:t>
        </w:r>
      </w:hyperlink>
    </w:p>
    <w:p w14:paraId="62386018" w14:textId="77777777" w:rsidR="00A179DF" w:rsidRDefault="00A179DF" w:rsidP="00A179DF">
      <w:pPr>
        <w:jc w:val="center"/>
        <w:rPr>
          <w:rFonts w:ascii="Times New Roman" w:eastAsia="Times New Roman" w:hAnsi="Times New Roman" w:cs="Times New Roman"/>
          <w:sz w:val="22"/>
          <w:szCs w:val="22"/>
        </w:rPr>
      </w:pPr>
    </w:p>
    <w:p w14:paraId="7D107C75" w14:textId="48EE8A1D" w:rsidR="00F87C2B" w:rsidRDefault="00A179DF" w:rsidP="00A179D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What were three goal</w:t>
      </w:r>
      <w:r w:rsidR="00D81925">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of the restoration project?</w:t>
      </w:r>
    </w:p>
    <w:p w14:paraId="3EBAC328" w14:textId="1DDDA0B0" w:rsidR="00A179DF" w:rsidRDefault="00A179DF" w:rsidP="00A179DF">
      <w:pPr>
        <w:jc w:val="center"/>
        <w:rPr>
          <w:rFonts w:ascii="Times New Roman" w:eastAsia="Times New Roman" w:hAnsi="Times New Roman" w:cs="Times New Roman"/>
          <w:sz w:val="22"/>
          <w:szCs w:val="22"/>
        </w:rPr>
      </w:pPr>
    </w:p>
    <w:p w14:paraId="5A6A3A88" w14:textId="38544EE5" w:rsidR="00A179DF" w:rsidRDefault="00A179DF" w:rsidP="00A179DF">
      <w:pPr>
        <w:jc w:val="center"/>
        <w:rPr>
          <w:rFonts w:ascii="Times New Roman" w:eastAsia="Times New Roman" w:hAnsi="Times New Roman" w:cs="Times New Roman"/>
          <w:sz w:val="22"/>
          <w:szCs w:val="22"/>
        </w:rPr>
      </w:pPr>
    </w:p>
    <w:p w14:paraId="156378B7" w14:textId="241ACFEF" w:rsidR="00A179DF" w:rsidRDefault="00A179DF" w:rsidP="00A179DF">
      <w:pPr>
        <w:jc w:val="center"/>
        <w:rPr>
          <w:rFonts w:ascii="Times New Roman" w:eastAsia="Times New Roman" w:hAnsi="Times New Roman" w:cs="Times New Roman"/>
          <w:sz w:val="22"/>
          <w:szCs w:val="22"/>
        </w:rPr>
      </w:pPr>
    </w:p>
    <w:p w14:paraId="33A7DA4B" w14:textId="496E3A40" w:rsidR="00A179DF" w:rsidRDefault="00A179DF" w:rsidP="00A179DF">
      <w:pPr>
        <w:jc w:val="center"/>
        <w:rPr>
          <w:rFonts w:ascii="Times New Roman" w:eastAsia="Times New Roman" w:hAnsi="Times New Roman" w:cs="Times New Roman"/>
          <w:sz w:val="22"/>
          <w:szCs w:val="22"/>
        </w:rPr>
      </w:pPr>
    </w:p>
    <w:p w14:paraId="2689D0E2" w14:textId="390D8BCB" w:rsidR="00A179DF" w:rsidRDefault="00A179DF" w:rsidP="00A179D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Why is groundwater important?</w:t>
      </w:r>
    </w:p>
    <w:p w14:paraId="57B8B8BF" w14:textId="64945498" w:rsidR="00A179DF" w:rsidRDefault="00A179DF" w:rsidP="00A179DF">
      <w:pPr>
        <w:jc w:val="center"/>
        <w:rPr>
          <w:rFonts w:ascii="Times New Roman" w:eastAsia="Times New Roman" w:hAnsi="Times New Roman" w:cs="Times New Roman"/>
          <w:sz w:val="22"/>
          <w:szCs w:val="22"/>
        </w:rPr>
      </w:pPr>
    </w:p>
    <w:p w14:paraId="297E49ED" w14:textId="6CE6C27E" w:rsidR="00A179DF" w:rsidRDefault="00A179DF" w:rsidP="00A179DF">
      <w:pPr>
        <w:jc w:val="center"/>
        <w:rPr>
          <w:rFonts w:ascii="Times New Roman" w:eastAsia="Times New Roman" w:hAnsi="Times New Roman" w:cs="Times New Roman"/>
          <w:sz w:val="22"/>
          <w:szCs w:val="22"/>
        </w:rPr>
      </w:pPr>
    </w:p>
    <w:p w14:paraId="6BC03ADB" w14:textId="489ED0BB" w:rsidR="00A179DF" w:rsidRDefault="00A179DF" w:rsidP="00A179DF">
      <w:pPr>
        <w:jc w:val="center"/>
        <w:rPr>
          <w:rFonts w:ascii="Times New Roman" w:eastAsia="Times New Roman" w:hAnsi="Times New Roman" w:cs="Times New Roman"/>
          <w:sz w:val="22"/>
          <w:szCs w:val="22"/>
        </w:rPr>
      </w:pPr>
    </w:p>
    <w:p w14:paraId="0FBA6270" w14:textId="7C5F279E" w:rsidR="00A179DF" w:rsidRDefault="00A179DF" w:rsidP="00A179DF">
      <w:pPr>
        <w:jc w:val="center"/>
        <w:rPr>
          <w:rFonts w:ascii="Times New Roman" w:eastAsia="Times New Roman" w:hAnsi="Times New Roman" w:cs="Times New Roman"/>
          <w:sz w:val="22"/>
          <w:szCs w:val="22"/>
        </w:rPr>
      </w:pPr>
    </w:p>
    <w:p w14:paraId="697FDCCB" w14:textId="3C137304" w:rsidR="00A179DF" w:rsidRDefault="00A179DF" w:rsidP="00A179D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What groundwater level or depth do plants need to survive?</w:t>
      </w:r>
    </w:p>
    <w:p w14:paraId="51303C8A" w14:textId="428F5D0A" w:rsidR="00A179DF" w:rsidRDefault="00A179DF" w:rsidP="00A179DF">
      <w:pPr>
        <w:jc w:val="center"/>
        <w:rPr>
          <w:rFonts w:ascii="Times New Roman" w:eastAsia="Times New Roman" w:hAnsi="Times New Roman" w:cs="Times New Roman"/>
          <w:sz w:val="22"/>
          <w:szCs w:val="22"/>
        </w:rPr>
      </w:pPr>
    </w:p>
    <w:p w14:paraId="10F1197C" w14:textId="0C6B5D27" w:rsidR="00A179DF" w:rsidRDefault="00A179DF" w:rsidP="00A179DF">
      <w:pPr>
        <w:jc w:val="center"/>
        <w:rPr>
          <w:rFonts w:ascii="Times New Roman" w:eastAsia="Times New Roman" w:hAnsi="Times New Roman" w:cs="Times New Roman"/>
          <w:sz w:val="22"/>
          <w:szCs w:val="22"/>
        </w:rPr>
      </w:pPr>
    </w:p>
    <w:p w14:paraId="0DE15000" w14:textId="22661907" w:rsidR="00A179DF" w:rsidRDefault="00A179DF" w:rsidP="00A179DF">
      <w:pPr>
        <w:jc w:val="center"/>
        <w:rPr>
          <w:rFonts w:ascii="Times New Roman" w:eastAsia="Times New Roman" w:hAnsi="Times New Roman" w:cs="Times New Roman"/>
          <w:sz w:val="22"/>
          <w:szCs w:val="22"/>
        </w:rPr>
      </w:pPr>
    </w:p>
    <w:p w14:paraId="06491F13" w14:textId="77777777" w:rsidR="00786582" w:rsidRDefault="00786582" w:rsidP="00A179DF">
      <w:pPr>
        <w:jc w:val="center"/>
        <w:rPr>
          <w:rFonts w:ascii="Times New Roman" w:eastAsia="Times New Roman" w:hAnsi="Times New Roman" w:cs="Times New Roman"/>
          <w:sz w:val="22"/>
          <w:szCs w:val="22"/>
        </w:rPr>
      </w:pPr>
    </w:p>
    <w:p w14:paraId="41DAEAC0" w14:textId="292B8990" w:rsidR="00786582" w:rsidRDefault="00786582" w:rsidP="00A179D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What is the name of the instrument that measures water depth and how do you use it?</w:t>
      </w:r>
    </w:p>
    <w:p w14:paraId="31B61A1B" w14:textId="32145D58" w:rsidR="00786582" w:rsidRDefault="00786582" w:rsidP="00A179DF">
      <w:pPr>
        <w:jc w:val="center"/>
        <w:rPr>
          <w:rFonts w:ascii="Times New Roman" w:eastAsia="Times New Roman" w:hAnsi="Times New Roman" w:cs="Times New Roman"/>
          <w:sz w:val="22"/>
          <w:szCs w:val="22"/>
        </w:rPr>
      </w:pPr>
    </w:p>
    <w:p w14:paraId="524DC326" w14:textId="0C445BE7" w:rsidR="00786582" w:rsidRDefault="00786582" w:rsidP="00A179DF">
      <w:pPr>
        <w:jc w:val="center"/>
        <w:rPr>
          <w:rFonts w:ascii="Times New Roman" w:eastAsia="Times New Roman" w:hAnsi="Times New Roman" w:cs="Times New Roman"/>
          <w:sz w:val="22"/>
          <w:szCs w:val="22"/>
        </w:rPr>
      </w:pPr>
    </w:p>
    <w:p w14:paraId="35867141" w14:textId="01B39745" w:rsidR="00786582" w:rsidRDefault="00786582" w:rsidP="00A179DF">
      <w:pPr>
        <w:jc w:val="center"/>
        <w:rPr>
          <w:rFonts w:ascii="Times New Roman" w:eastAsia="Times New Roman" w:hAnsi="Times New Roman" w:cs="Times New Roman"/>
          <w:sz w:val="22"/>
          <w:szCs w:val="22"/>
        </w:rPr>
      </w:pPr>
    </w:p>
    <w:p w14:paraId="4B73A6CC" w14:textId="77777777" w:rsidR="00786582" w:rsidRDefault="00786582" w:rsidP="00A179DF">
      <w:pPr>
        <w:jc w:val="center"/>
        <w:rPr>
          <w:rFonts w:ascii="Times New Roman" w:eastAsia="Times New Roman" w:hAnsi="Times New Roman" w:cs="Times New Roman"/>
          <w:sz w:val="22"/>
          <w:szCs w:val="22"/>
        </w:rPr>
      </w:pPr>
    </w:p>
    <w:p w14:paraId="61BEDE92" w14:textId="3E39D380" w:rsidR="00786582" w:rsidRDefault="00786582" w:rsidP="00A179D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Why do you think it is important to take the measurement twice?</w:t>
      </w:r>
    </w:p>
    <w:p w14:paraId="424B2E34" w14:textId="59385E40" w:rsidR="00A179DF" w:rsidRDefault="00A179DF" w:rsidP="00A179DF">
      <w:pPr>
        <w:jc w:val="center"/>
        <w:rPr>
          <w:rFonts w:ascii="Times New Roman" w:eastAsia="Times New Roman" w:hAnsi="Times New Roman" w:cs="Times New Roman"/>
          <w:sz w:val="22"/>
          <w:szCs w:val="22"/>
        </w:rPr>
      </w:pPr>
    </w:p>
    <w:p w14:paraId="6284A386" w14:textId="77777777" w:rsidR="00A179DF" w:rsidRDefault="00A179DF" w:rsidP="00A179DF">
      <w:pPr>
        <w:jc w:val="center"/>
        <w:rPr>
          <w:rFonts w:ascii="Times New Roman" w:eastAsia="Times New Roman" w:hAnsi="Times New Roman" w:cs="Times New Roman"/>
          <w:sz w:val="22"/>
          <w:szCs w:val="22"/>
        </w:rPr>
      </w:pPr>
    </w:p>
    <w:p w14:paraId="35BBD704" w14:textId="023473C6" w:rsidR="00A179DF" w:rsidRDefault="00A179DF" w:rsidP="00F87C2B">
      <w:pPr>
        <w:rPr>
          <w:rFonts w:ascii="Times New Roman" w:eastAsia="Times New Roman" w:hAnsi="Times New Roman" w:cs="Times New Roman"/>
          <w:sz w:val="22"/>
          <w:szCs w:val="22"/>
        </w:rPr>
      </w:pPr>
    </w:p>
    <w:p w14:paraId="545B0263" w14:textId="77777777" w:rsidR="00786582" w:rsidRDefault="00786582" w:rsidP="00F87C2B">
      <w:pPr>
        <w:rPr>
          <w:rFonts w:ascii="Times New Roman" w:eastAsia="Times New Roman" w:hAnsi="Times New Roman" w:cs="Times New Roman"/>
          <w:b/>
          <w:bCs/>
        </w:rPr>
      </w:pPr>
    </w:p>
    <w:p w14:paraId="7B8185BA" w14:textId="77777777" w:rsidR="00786582" w:rsidRDefault="00786582" w:rsidP="00F87C2B">
      <w:pPr>
        <w:rPr>
          <w:rFonts w:ascii="Times New Roman" w:eastAsia="Times New Roman" w:hAnsi="Times New Roman" w:cs="Times New Roman"/>
          <w:b/>
          <w:bCs/>
        </w:rPr>
      </w:pPr>
    </w:p>
    <w:p w14:paraId="314A12B3" w14:textId="32F42C47" w:rsidR="00A179DF" w:rsidRDefault="00786582" w:rsidP="00F87C2B">
      <w:pPr>
        <w:rPr>
          <w:rFonts w:ascii="Times New Roman" w:eastAsia="Times New Roman" w:hAnsi="Times New Roman" w:cs="Times New Roman"/>
          <w:sz w:val="22"/>
          <w:szCs w:val="22"/>
        </w:rPr>
      </w:pPr>
      <w:r>
        <w:rPr>
          <w:rFonts w:ascii="Times New Roman" w:eastAsia="Times New Roman" w:hAnsi="Times New Roman" w:cs="Times New Roman"/>
          <w:b/>
          <w:bCs/>
        </w:rPr>
        <w:t xml:space="preserve">Step 2: </w:t>
      </w:r>
      <w:r>
        <w:rPr>
          <w:rFonts w:ascii="Times New Roman" w:eastAsia="Times New Roman" w:hAnsi="Times New Roman" w:cs="Times New Roman"/>
          <w:sz w:val="22"/>
          <w:szCs w:val="22"/>
        </w:rPr>
        <w:t>Below is the median monthly data from 2008-2017 for the growing season months (April-October) for Camp Polk. Create a simple line chart to show the change in the ground water level for each month over the 9-year period.</w:t>
      </w:r>
    </w:p>
    <w:p w14:paraId="5C53756F" w14:textId="77777777" w:rsidR="00786582" w:rsidRDefault="00786582" w:rsidP="00F87C2B">
      <w:pPr>
        <w:rPr>
          <w:rFonts w:ascii="Times New Roman" w:eastAsia="Times New Roman" w:hAnsi="Times New Roman" w:cs="Times New Roman"/>
          <w:sz w:val="22"/>
          <w:szCs w:val="22"/>
        </w:rPr>
      </w:pPr>
    </w:p>
    <w:p w14:paraId="4BCA787B" w14:textId="317CF19C" w:rsidR="00786582" w:rsidRDefault="00786582" w:rsidP="00F87C2B">
      <w:pPr>
        <w:rPr>
          <w:rFonts w:ascii="Times New Roman" w:eastAsia="Times New Roman" w:hAnsi="Times New Roman" w:cs="Times New Roman"/>
          <w:sz w:val="22"/>
          <w:szCs w:val="22"/>
        </w:rPr>
      </w:pPr>
    </w:p>
    <w:tbl>
      <w:tblPr>
        <w:tblW w:w="10400" w:type="dxa"/>
        <w:tblLook w:val="04A0" w:firstRow="1" w:lastRow="0" w:firstColumn="1" w:lastColumn="0" w:noHBand="0" w:noVBand="1"/>
      </w:tblPr>
      <w:tblGrid>
        <w:gridCol w:w="1013"/>
        <w:gridCol w:w="1059"/>
        <w:gridCol w:w="1059"/>
        <w:gridCol w:w="1059"/>
        <w:gridCol w:w="1059"/>
        <w:gridCol w:w="1384"/>
        <w:gridCol w:w="2155"/>
        <w:gridCol w:w="1612"/>
      </w:tblGrid>
      <w:tr w:rsidR="00786582" w:rsidRPr="00786582" w14:paraId="569FEE06" w14:textId="77777777" w:rsidTr="00786582">
        <w:trPr>
          <w:trHeight w:val="320"/>
        </w:trPr>
        <w:tc>
          <w:tcPr>
            <w:tcW w:w="10400" w:type="dxa"/>
            <w:gridSpan w:val="8"/>
            <w:tcBorders>
              <w:top w:val="single" w:sz="4" w:space="0" w:color="auto"/>
              <w:left w:val="nil"/>
              <w:bottom w:val="single" w:sz="4" w:space="0" w:color="auto"/>
              <w:right w:val="nil"/>
            </w:tcBorders>
            <w:shd w:val="clear" w:color="auto" w:fill="auto"/>
            <w:noWrap/>
            <w:vAlign w:val="bottom"/>
            <w:hideMark/>
          </w:tcPr>
          <w:p w14:paraId="220FE3B9" w14:textId="77777777" w:rsidR="00786582" w:rsidRPr="00786582" w:rsidRDefault="00786582" w:rsidP="00786582">
            <w:pPr>
              <w:jc w:val="center"/>
              <w:rPr>
                <w:rFonts w:ascii="Calibri" w:eastAsia="Times New Roman" w:hAnsi="Calibri" w:cs="Calibri"/>
                <w:sz w:val="20"/>
                <w:szCs w:val="20"/>
              </w:rPr>
            </w:pPr>
            <w:r w:rsidRPr="00786582">
              <w:rPr>
                <w:rFonts w:ascii="Calibri" w:eastAsia="Times New Roman" w:hAnsi="Calibri" w:cs="Calibri"/>
                <w:sz w:val="20"/>
                <w:szCs w:val="20"/>
              </w:rPr>
              <w:t>Camp Polk Groundwater Monthly Medians for Growing Season</w:t>
            </w:r>
          </w:p>
        </w:tc>
      </w:tr>
      <w:tr w:rsidR="00786582" w:rsidRPr="00786582" w14:paraId="40A1A2BB" w14:textId="77777777" w:rsidTr="00786582">
        <w:trPr>
          <w:trHeight w:val="320"/>
        </w:trPr>
        <w:tc>
          <w:tcPr>
            <w:tcW w:w="1013" w:type="dxa"/>
            <w:tcBorders>
              <w:top w:val="nil"/>
              <w:left w:val="nil"/>
              <w:bottom w:val="nil"/>
              <w:right w:val="nil"/>
            </w:tcBorders>
            <w:shd w:val="clear" w:color="auto" w:fill="auto"/>
            <w:noWrap/>
            <w:vAlign w:val="bottom"/>
            <w:hideMark/>
          </w:tcPr>
          <w:p w14:paraId="507B3066" w14:textId="77777777" w:rsidR="00786582" w:rsidRPr="00786582" w:rsidRDefault="00786582" w:rsidP="00786582">
            <w:pPr>
              <w:jc w:val="center"/>
              <w:rPr>
                <w:rFonts w:ascii="Calibri" w:eastAsia="Times New Roman" w:hAnsi="Calibri" w:cs="Calibri"/>
                <w:sz w:val="20"/>
                <w:szCs w:val="20"/>
              </w:rPr>
            </w:pPr>
          </w:p>
        </w:tc>
        <w:tc>
          <w:tcPr>
            <w:tcW w:w="1059" w:type="dxa"/>
            <w:tcBorders>
              <w:top w:val="nil"/>
              <w:left w:val="nil"/>
              <w:bottom w:val="single" w:sz="4" w:space="0" w:color="auto"/>
              <w:right w:val="nil"/>
            </w:tcBorders>
            <w:shd w:val="clear" w:color="auto" w:fill="auto"/>
            <w:noWrap/>
            <w:vAlign w:val="bottom"/>
            <w:hideMark/>
          </w:tcPr>
          <w:p w14:paraId="20FC9931" w14:textId="3E68EAA7" w:rsidR="00786582" w:rsidRPr="00786582" w:rsidRDefault="00786582" w:rsidP="00786582">
            <w:pPr>
              <w:jc w:val="center"/>
              <w:rPr>
                <w:rFonts w:ascii="Calibri" w:eastAsia="Times New Roman" w:hAnsi="Calibri" w:cs="Calibri"/>
                <w:sz w:val="20"/>
                <w:szCs w:val="20"/>
              </w:rPr>
            </w:pPr>
            <w:r>
              <w:rPr>
                <w:rFonts w:ascii="Calibri" w:eastAsia="Times New Roman" w:hAnsi="Calibri" w:cs="Calibri"/>
                <w:sz w:val="20"/>
                <w:szCs w:val="20"/>
              </w:rPr>
              <w:t xml:space="preserve">         </w:t>
            </w:r>
            <w:r w:rsidRPr="00786582">
              <w:rPr>
                <w:rFonts w:ascii="Calibri" w:eastAsia="Times New Roman" w:hAnsi="Calibri" w:cs="Calibri"/>
                <w:sz w:val="20"/>
                <w:szCs w:val="20"/>
              </w:rPr>
              <w:t>April</w:t>
            </w:r>
          </w:p>
        </w:tc>
        <w:tc>
          <w:tcPr>
            <w:tcW w:w="1059" w:type="dxa"/>
            <w:tcBorders>
              <w:top w:val="nil"/>
              <w:left w:val="nil"/>
              <w:bottom w:val="single" w:sz="4" w:space="0" w:color="auto"/>
              <w:right w:val="nil"/>
            </w:tcBorders>
            <w:shd w:val="clear" w:color="auto" w:fill="auto"/>
            <w:noWrap/>
            <w:vAlign w:val="bottom"/>
            <w:hideMark/>
          </w:tcPr>
          <w:p w14:paraId="158DA201" w14:textId="2C64F43A" w:rsidR="00786582" w:rsidRPr="00786582" w:rsidRDefault="00786582" w:rsidP="00786582">
            <w:pPr>
              <w:jc w:val="center"/>
              <w:rPr>
                <w:rFonts w:ascii="Calibri" w:eastAsia="Times New Roman" w:hAnsi="Calibri" w:cs="Calibri"/>
                <w:sz w:val="20"/>
                <w:szCs w:val="20"/>
              </w:rPr>
            </w:pPr>
            <w:r>
              <w:rPr>
                <w:rFonts w:ascii="Calibri" w:eastAsia="Times New Roman" w:hAnsi="Calibri" w:cs="Calibri"/>
                <w:sz w:val="20"/>
                <w:szCs w:val="20"/>
              </w:rPr>
              <w:t xml:space="preserve">         </w:t>
            </w:r>
            <w:r w:rsidRPr="00786582">
              <w:rPr>
                <w:rFonts w:ascii="Calibri" w:eastAsia="Times New Roman" w:hAnsi="Calibri" w:cs="Calibri"/>
                <w:sz w:val="20"/>
                <w:szCs w:val="20"/>
              </w:rPr>
              <w:t>May</w:t>
            </w:r>
          </w:p>
        </w:tc>
        <w:tc>
          <w:tcPr>
            <w:tcW w:w="1059" w:type="dxa"/>
            <w:tcBorders>
              <w:top w:val="nil"/>
              <w:left w:val="nil"/>
              <w:bottom w:val="single" w:sz="4" w:space="0" w:color="auto"/>
              <w:right w:val="nil"/>
            </w:tcBorders>
            <w:shd w:val="clear" w:color="auto" w:fill="auto"/>
            <w:noWrap/>
            <w:vAlign w:val="bottom"/>
            <w:hideMark/>
          </w:tcPr>
          <w:p w14:paraId="758CB27D" w14:textId="777EA17B" w:rsidR="00786582" w:rsidRPr="00786582" w:rsidRDefault="00786582" w:rsidP="00786582">
            <w:pPr>
              <w:jc w:val="center"/>
              <w:rPr>
                <w:rFonts w:ascii="Calibri" w:eastAsia="Times New Roman" w:hAnsi="Calibri" w:cs="Calibri"/>
                <w:sz w:val="20"/>
                <w:szCs w:val="20"/>
              </w:rPr>
            </w:pPr>
            <w:r>
              <w:rPr>
                <w:rFonts w:ascii="Calibri" w:eastAsia="Times New Roman" w:hAnsi="Calibri" w:cs="Calibri"/>
                <w:sz w:val="20"/>
                <w:szCs w:val="20"/>
              </w:rPr>
              <w:t xml:space="preserve">         </w:t>
            </w:r>
            <w:r w:rsidRPr="00786582">
              <w:rPr>
                <w:rFonts w:ascii="Calibri" w:eastAsia="Times New Roman" w:hAnsi="Calibri" w:cs="Calibri"/>
                <w:sz w:val="20"/>
                <w:szCs w:val="20"/>
              </w:rPr>
              <w:t>June</w:t>
            </w:r>
          </w:p>
        </w:tc>
        <w:tc>
          <w:tcPr>
            <w:tcW w:w="1059" w:type="dxa"/>
            <w:tcBorders>
              <w:top w:val="nil"/>
              <w:left w:val="nil"/>
              <w:bottom w:val="single" w:sz="4" w:space="0" w:color="auto"/>
              <w:right w:val="nil"/>
            </w:tcBorders>
            <w:shd w:val="clear" w:color="auto" w:fill="auto"/>
            <w:noWrap/>
            <w:vAlign w:val="bottom"/>
            <w:hideMark/>
          </w:tcPr>
          <w:p w14:paraId="31A8531B" w14:textId="0E3FFCCA" w:rsidR="00786582" w:rsidRPr="00786582" w:rsidRDefault="00786582" w:rsidP="00786582">
            <w:pPr>
              <w:jc w:val="center"/>
              <w:rPr>
                <w:rFonts w:ascii="Calibri" w:eastAsia="Times New Roman" w:hAnsi="Calibri" w:cs="Calibri"/>
                <w:sz w:val="20"/>
                <w:szCs w:val="20"/>
              </w:rPr>
            </w:pPr>
            <w:r>
              <w:rPr>
                <w:rFonts w:ascii="Calibri" w:eastAsia="Times New Roman" w:hAnsi="Calibri" w:cs="Calibri"/>
                <w:sz w:val="20"/>
                <w:szCs w:val="20"/>
              </w:rPr>
              <w:t xml:space="preserve">         </w:t>
            </w:r>
            <w:r w:rsidRPr="00786582">
              <w:rPr>
                <w:rFonts w:ascii="Calibri" w:eastAsia="Times New Roman" w:hAnsi="Calibri" w:cs="Calibri"/>
                <w:sz w:val="20"/>
                <w:szCs w:val="20"/>
              </w:rPr>
              <w:t>July</w:t>
            </w:r>
          </w:p>
        </w:tc>
        <w:tc>
          <w:tcPr>
            <w:tcW w:w="1384" w:type="dxa"/>
            <w:tcBorders>
              <w:top w:val="nil"/>
              <w:left w:val="nil"/>
              <w:bottom w:val="single" w:sz="4" w:space="0" w:color="auto"/>
              <w:right w:val="nil"/>
            </w:tcBorders>
            <w:shd w:val="clear" w:color="auto" w:fill="auto"/>
            <w:noWrap/>
            <w:vAlign w:val="bottom"/>
            <w:hideMark/>
          </w:tcPr>
          <w:p w14:paraId="218909A7" w14:textId="65BB41ED" w:rsidR="00786582" w:rsidRPr="00786582" w:rsidRDefault="00786582" w:rsidP="00786582">
            <w:pPr>
              <w:jc w:val="center"/>
              <w:rPr>
                <w:rFonts w:ascii="Calibri" w:eastAsia="Times New Roman" w:hAnsi="Calibri" w:cs="Calibri"/>
                <w:sz w:val="20"/>
                <w:szCs w:val="20"/>
              </w:rPr>
            </w:pPr>
            <w:r>
              <w:rPr>
                <w:rFonts w:ascii="Calibri" w:eastAsia="Times New Roman" w:hAnsi="Calibri" w:cs="Calibri"/>
                <w:sz w:val="20"/>
                <w:szCs w:val="20"/>
              </w:rPr>
              <w:t xml:space="preserve">             </w:t>
            </w:r>
            <w:r w:rsidRPr="00786582">
              <w:rPr>
                <w:rFonts w:ascii="Calibri" w:eastAsia="Times New Roman" w:hAnsi="Calibri" w:cs="Calibri"/>
                <w:sz w:val="20"/>
                <w:szCs w:val="20"/>
              </w:rPr>
              <w:t>August</w:t>
            </w:r>
          </w:p>
        </w:tc>
        <w:tc>
          <w:tcPr>
            <w:tcW w:w="2155" w:type="dxa"/>
            <w:tcBorders>
              <w:top w:val="nil"/>
              <w:left w:val="nil"/>
              <w:bottom w:val="single" w:sz="4" w:space="0" w:color="auto"/>
              <w:right w:val="nil"/>
            </w:tcBorders>
            <w:shd w:val="clear" w:color="auto" w:fill="auto"/>
            <w:noWrap/>
            <w:vAlign w:val="bottom"/>
            <w:hideMark/>
          </w:tcPr>
          <w:p w14:paraId="21441327" w14:textId="77777777" w:rsidR="00786582" w:rsidRPr="00786582" w:rsidRDefault="00786582" w:rsidP="00786582">
            <w:pPr>
              <w:jc w:val="center"/>
              <w:rPr>
                <w:rFonts w:ascii="Calibri" w:eastAsia="Times New Roman" w:hAnsi="Calibri" w:cs="Calibri"/>
                <w:sz w:val="20"/>
                <w:szCs w:val="20"/>
              </w:rPr>
            </w:pPr>
            <w:r w:rsidRPr="00786582">
              <w:rPr>
                <w:rFonts w:ascii="Calibri" w:eastAsia="Times New Roman" w:hAnsi="Calibri" w:cs="Calibri"/>
                <w:sz w:val="20"/>
                <w:szCs w:val="20"/>
              </w:rPr>
              <w:t>September</w:t>
            </w:r>
          </w:p>
        </w:tc>
        <w:tc>
          <w:tcPr>
            <w:tcW w:w="1612" w:type="dxa"/>
            <w:tcBorders>
              <w:top w:val="nil"/>
              <w:left w:val="nil"/>
              <w:bottom w:val="single" w:sz="4" w:space="0" w:color="auto"/>
              <w:right w:val="nil"/>
            </w:tcBorders>
            <w:shd w:val="clear" w:color="auto" w:fill="auto"/>
            <w:noWrap/>
            <w:vAlign w:val="bottom"/>
            <w:hideMark/>
          </w:tcPr>
          <w:p w14:paraId="4B9F7D95" w14:textId="3AE7DFCF" w:rsidR="00786582" w:rsidRPr="00786582" w:rsidRDefault="00786582" w:rsidP="00786582">
            <w:pPr>
              <w:rPr>
                <w:rFonts w:ascii="Calibri" w:eastAsia="Times New Roman" w:hAnsi="Calibri" w:cs="Calibri"/>
                <w:sz w:val="20"/>
                <w:szCs w:val="20"/>
              </w:rPr>
            </w:pPr>
            <w:r w:rsidRPr="00786582">
              <w:rPr>
                <w:rFonts w:ascii="Calibri" w:eastAsia="Times New Roman" w:hAnsi="Calibri" w:cs="Calibri"/>
                <w:sz w:val="20"/>
                <w:szCs w:val="20"/>
              </w:rPr>
              <w:t>October</w:t>
            </w:r>
          </w:p>
        </w:tc>
      </w:tr>
      <w:tr w:rsidR="00786582" w:rsidRPr="00786582" w14:paraId="6A23CCAF" w14:textId="77777777" w:rsidTr="00786582">
        <w:trPr>
          <w:trHeight w:val="320"/>
        </w:trPr>
        <w:tc>
          <w:tcPr>
            <w:tcW w:w="1013" w:type="dxa"/>
            <w:tcBorders>
              <w:top w:val="nil"/>
              <w:left w:val="nil"/>
              <w:bottom w:val="nil"/>
              <w:right w:val="nil"/>
            </w:tcBorders>
            <w:shd w:val="clear" w:color="auto" w:fill="auto"/>
            <w:noWrap/>
            <w:vAlign w:val="bottom"/>
            <w:hideMark/>
          </w:tcPr>
          <w:p w14:paraId="13ECC577"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2008</w:t>
            </w:r>
          </w:p>
        </w:tc>
        <w:tc>
          <w:tcPr>
            <w:tcW w:w="1059" w:type="dxa"/>
            <w:tcBorders>
              <w:top w:val="nil"/>
              <w:left w:val="nil"/>
              <w:bottom w:val="nil"/>
              <w:right w:val="nil"/>
            </w:tcBorders>
            <w:shd w:val="clear" w:color="auto" w:fill="auto"/>
            <w:noWrap/>
            <w:vAlign w:val="bottom"/>
            <w:hideMark/>
          </w:tcPr>
          <w:p w14:paraId="7D601E6C"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3.00</w:t>
            </w:r>
          </w:p>
        </w:tc>
        <w:tc>
          <w:tcPr>
            <w:tcW w:w="1059" w:type="dxa"/>
            <w:tcBorders>
              <w:top w:val="nil"/>
              <w:left w:val="nil"/>
              <w:bottom w:val="nil"/>
              <w:right w:val="nil"/>
            </w:tcBorders>
            <w:shd w:val="clear" w:color="auto" w:fill="auto"/>
            <w:noWrap/>
            <w:vAlign w:val="bottom"/>
            <w:hideMark/>
          </w:tcPr>
          <w:p w14:paraId="6B7C1E47"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3.84</w:t>
            </w:r>
          </w:p>
        </w:tc>
        <w:tc>
          <w:tcPr>
            <w:tcW w:w="1059" w:type="dxa"/>
            <w:tcBorders>
              <w:top w:val="nil"/>
              <w:left w:val="nil"/>
              <w:bottom w:val="nil"/>
              <w:right w:val="nil"/>
            </w:tcBorders>
            <w:shd w:val="clear" w:color="auto" w:fill="auto"/>
            <w:noWrap/>
            <w:vAlign w:val="bottom"/>
            <w:hideMark/>
          </w:tcPr>
          <w:p w14:paraId="13A26C2D"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4.10</w:t>
            </w:r>
          </w:p>
        </w:tc>
        <w:tc>
          <w:tcPr>
            <w:tcW w:w="1059" w:type="dxa"/>
            <w:tcBorders>
              <w:top w:val="nil"/>
              <w:left w:val="nil"/>
              <w:bottom w:val="nil"/>
              <w:right w:val="nil"/>
            </w:tcBorders>
            <w:shd w:val="clear" w:color="auto" w:fill="auto"/>
            <w:noWrap/>
            <w:vAlign w:val="bottom"/>
            <w:hideMark/>
          </w:tcPr>
          <w:p w14:paraId="591CC0DB"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4.96</w:t>
            </w:r>
          </w:p>
        </w:tc>
        <w:tc>
          <w:tcPr>
            <w:tcW w:w="1384" w:type="dxa"/>
            <w:tcBorders>
              <w:top w:val="nil"/>
              <w:left w:val="nil"/>
              <w:bottom w:val="nil"/>
              <w:right w:val="nil"/>
            </w:tcBorders>
            <w:shd w:val="clear" w:color="auto" w:fill="auto"/>
            <w:noWrap/>
            <w:vAlign w:val="bottom"/>
            <w:hideMark/>
          </w:tcPr>
          <w:p w14:paraId="3F1F687A" w14:textId="01BB6895"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6.04</w:t>
            </w:r>
          </w:p>
        </w:tc>
        <w:tc>
          <w:tcPr>
            <w:tcW w:w="2155" w:type="dxa"/>
            <w:tcBorders>
              <w:top w:val="nil"/>
              <w:left w:val="nil"/>
              <w:bottom w:val="nil"/>
              <w:right w:val="nil"/>
            </w:tcBorders>
            <w:shd w:val="clear" w:color="auto" w:fill="auto"/>
            <w:noWrap/>
            <w:vAlign w:val="bottom"/>
            <w:hideMark/>
          </w:tcPr>
          <w:p w14:paraId="32F7DEC5"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6.38</w:t>
            </w:r>
          </w:p>
        </w:tc>
        <w:tc>
          <w:tcPr>
            <w:tcW w:w="1612" w:type="dxa"/>
            <w:tcBorders>
              <w:top w:val="nil"/>
              <w:left w:val="nil"/>
              <w:bottom w:val="nil"/>
              <w:right w:val="nil"/>
            </w:tcBorders>
            <w:shd w:val="clear" w:color="auto" w:fill="auto"/>
            <w:noWrap/>
            <w:vAlign w:val="bottom"/>
            <w:hideMark/>
          </w:tcPr>
          <w:p w14:paraId="6A2A0C39"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6.57</w:t>
            </w:r>
          </w:p>
        </w:tc>
      </w:tr>
      <w:tr w:rsidR="00786582" w:rsidRPr="00786582" w14:paraId="43169E35" w14:textId="77777777" w:rsidTr="00786582">
        <w:trPr>
          <w:trHeight w:val="320"/>
        </w:trPr>
        <w:tc>
          <w:tcPr>
            <w:tcW w:w="1013" w:type="dxa"/>
            <w:tcBorders>
              <w:top w:val="nil"/>
              <w:left w:val="nil"/>
              <w:bottom w:val="nil"/>
              <w:right w:val="nil"/>
            </w:tcBorders>
            <w:shd w:val="clear" w:color="auto" w:fill="auto"/>
            <w:noWrap/>
            <w:vAlign w:val="bottom"/>
            <w:hideMark/>
          </w:tcPr>
          <w:p w14:paraId="7A703794"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2009</w:t>
            </w:r>
          </w:p>
        </w:tc>
        <w:tc>
          <w:tcPr>
            <w:tcW w:w="1059" w:type="dxa"/>
            <w:tcBorders>
              <w:top w:val="nil"/>
              <w:left w:val="nil"/>
              <w:bottom w:val="nil"/>
              <w:right w:val="nil"/>
            </w:tcBorders>
            <w:shd w:val="clear" w:color="auto" w:fill="auto"/>
            <w:noWrap/>
            <w:vAlign w:val="bottom"/>
            <w:hideMark/>
          </w:tcPr>
          <w:p w14:paraId="3E111915"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4.94</w:t>
            </w:r>
          </w:p>
        </w:tc>
        <w:tc>
          <w:tcPr>
            <w:tcW w:w="1059" w:type="dxa"/>
            <w:tcBorders>
              <w:top w:val="nil"/>
              <w:left w:val="nil"/>
              <w:bottom w:val="nil"/>
              <w:right w:val="nil"/>
            </w:tcBorders>
            <w:shd w:val="clear" w:color="auto" w:fill="auto"/>
            <w:noWrap/>
            <w:vAlign w:val="bottom"/>
            <w:hideMark/>
          </w:tcPr>
          <w:p w14:paraId="30FC1F42"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4.89</w:t>
            </w:r>
          </w:p>
        </w:tc>
        <w:tc>
          <w:tcPr>
            <w:tcW w:w="1059" w:type="dxa"/>
            <w:tcBorders>
              <w:top w:val="nil"/>
              <w:left w:val="nil"/>
              <w:bottom w:val="nil"/>
              <w:right w:val="nil"/>
            </w:tcBorders>
            <w:shd w:val="clear" w:color="auto" w:fill="auto"/>
            <w:noWrap/>
            <w:vAlign w:val="bottom"/>
            <w:hideMark/>
          </w:tcPr>
          <w:p w14:paraId="5347FEA4"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5.08</w:t>
            </w:r>
          </w:p>
        </w:tc>
        <w:tc>
          <w:tcPr>
            <w:tcW w:w="1059" w:type="dxa"/>
            <w:tcBorders>
              <w:top w:val="nil"/>
              <w:left w:val="nil"/>
              <w:bottom w:val="nil"/>
              <w:right w:val="nil"/>
            </w:tcBorders>
            <w:shd w:val="clear" w:color="auto" w:fill="auto"/>
            <w:noWrap/>
            <w:vAlign w:val="bottom"/>
            <w:hideMark/>
          </w:tcPr>
          <w:p w14:paraId="0C00C75A"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4.32</w:t>
            </w:r>
          </w:p>
        </w:tc>
        <w:tc>
          <w:tcPr>
            <w:tcW w:w="1384" w:type="dxa"/>
            <w:tcBorders>
              <w:top w:val="nil"/>
              <w:left w:val="nil"/>
              <w:bottom w:val="nil"/>
              <w:right w:val="nil"/>
            </w:tcBorders>
            <w:shd w:val="clear" w:color="auto" w:fill="auto"/>
            <w:noWrap/>
            <w:vAlign w:val="bottom"/>
            <w:hideMark/>
          </w:tcPr>
          <w:p w14:paraId="14EC7F25" w14:textId="71D08E74"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4.62</w:t>
            </w:r>
          </w:p>
        </w:tc>
        <w:tc>
          <w:tcPr>
            <w:tcW w:w="2155" w:type="dxa"/>
            <w:tcBorders>
              <w:top w:val="nil"/>
              <w:left w:val="nil"/>
              <w:bottom w:val="nil"/>
              <w:right w:val="nil"/>
            </w:tcBorders>
            <w:shd w:val="clear" w:color="auto" w:fill="auto"/>
            <w:noWrap/>
            <w:vAlign w:val="bottom"/>
            <w:hideMark/>
          </w:tcPr>
          <w:p w14:paraId="4FD671CD"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4.63</w:t>
            </w:r>
          </w:p>
        </w:tc>
        <w:tc>
          <w:tcPr>
            <w:tcW w:w="1612" w:type="dxa"/>
            <w:tcBorders>
              <w:top w:val="nil"/>
              <w:left w:val="nil"/>
              <w:bottom w:val="nil"/>
              <w:right w:val="nil"/>
            </w:tcBorders>
            <w:shd w:val="clear" w:color="auto" w:fill="auto"/>
            <w:noWrap/>
            <w:vAlign w:val="bottom"/>
            <w:hideMark/>
          </w:tcPr>
          <w:p w14:paraId="70D8AAA0"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4.36</w:t>
            </w:r>
          </w:p>
        </w:tc>
      </w:tr>
      <w:tr w:rsidR="00786582" w:rsidRPr="00786582" w14:paraId="43DED83F" w14:textId="77777777" w:rsidTr="00786582">
        <w:trPr>
          <w:trHeight w:val="320"/>
        </w:trPr>
        <w:tc>
          <w:tcPr>
            <w:tcW w:w="1013" w:type="dxa"/>
            <w:tcBorders>
              <w:top w:val="nil"/>
              <w:left w:val="nil"/>
              <w:bottom w:val="nil"/>
              <w:right w:val="nil"/>
            </w:tcBorders>
            <w:shd w:val="clear" w:color="auto" w:fill="auto"/>
            <w:noWrap/>
            <w:vAlign w:val="bottom"/>
            <w:hideMark/>
          </w:tcPr>
          <w:p w14:paraId="55C02840"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2010</w:t>
            </w:r>
          </w:p>
        </w:tc>
        <w:tc>
          <w:tcPr>
            <w:tcW w:w="1059" w:type="dxa"/>
            <w:tcBorders>
              <w:top w:val="nil"/>
              <w:left w:val="nil"/>
              <w:bottom w:val="nil"/>
              <w:right w:val="nil"/>
            </w:tcBorders>
            <w:shd w:val="clear" w:color="auto" w:fill="auto"/>
            <w:noWrap/>
            <w:vAlign w:val="bottom"/>
            <w:hideMark/>
          </w:tcPr>
          <w:p w14:paraId="47D506A7"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3.51</w:t>
            </w:r>
          </w:p>
        </w:tc>
        <w:tc>
          <w:tcPr>
            <w:tcW w:w="1059" w:type="dxa"/>
            <w:tcBorders>
              <w:top w:val="nil"/>
              <w:left w:val="nil"/>
              <w:bottom w:val="nil"/>
              <w:right w:val="nil"/>
            </w:tcBorders>
            <w:shd w:val="clear" w:color="auto" w:fill="auto"/>
            <w:noWrap/>
            <w:vAlign w:val="bottom"/>
            <w:hideMark/>
          </w:tcPr>
          <w:p w14:paraId="526D019E"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3.59</w:t>
            </w:r>
          </w:p>
        </w:tc>
        <w:tc>
          <w:tcPr>
            <w:tcW w:w="1059" w:type="dxa"/>
            <w:tcBorders>
              <w:top w:val="nil"/>
              <w:left w:val="nil"/>
              <w:bottom w:val="nil"/>
              <w:right w:val="nil"/>
            </w:tcBorders>
            <w:shd w:val="clear" w:color="auto" w:fill="auto"/>
            <w:noWrap/>
            <w:vAlign w:val="bottom"/>
            <w:hideMark/>
          </w:tcPr>
          <w:p w14:paraId="3AE3F925"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3.97</w:t>
            </w:r>
          </w:p>
        </w:tc>
        <w:tc>
          <w:tcPr>
            <w:tcW w:w="1059" w:type="dxa"/>
            <w:tcBorders>
              <w:top w:val="nil"/>
              <w:left w:val="nil"/>
              <w:bottom w:val="nil"/>
              <w:right w:val="nil"/>
            </w:tcBorders>
            <w:shd w:val="clear" w:color="auto" w:fill="auto"/>
            <w:noWrap/>
            <w:vAlign w:val="bottom"/>
            <w:hideMark/>
          </w:tcPr>
          <w:p w14:paraId="56D9C5C0"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4.14</w:t>
            </w:r>
          </w:p>
        </w:tc>
        <w:tc>
          <w:tcPr>
            <w:tcW w:w="1384" w:type="dxa"/>
            <w:tcBorders>
              <w:top w:val="nil"/>
              <w:left w:val="nil"/>
              <w:bottom w:val="nil"/>
              <w:right w:val="nil"/>
            </w:tcBorders>
            <w:shd w:val="clear" w:color="auto" w:fill="auto"/>
            <w:noWrap/>
            <w:vAlign w:val="bottom"/>
            <w:hideMark/>
          </w:tcPr>
          <w:p w14:paraId="7B843143" w14:textId="5B2D1391"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4.32</w:t>
            </w:r>
          </w:p>
        </w:tc>
        <w:tc>
          <w:tcPr>
            <w:tcW w:w="2155" w:type="dxa"/>
            <w:tcBorders>
              <w:top w:val="nil"/>
              <w:left w:val="nil"/>
              <w:bottom w:val="nil"/>
              <w:right w:val="nil"/>
            </w:tcBorders>
            <w:shd w:val="clear" w:color="auto" w:fill="auto"/>
            <w:noWrap/>
            <w:vAlign w:val="bottom"/>
            <w:hideMark/>
          </w:tcPr>
          <w:p w14:paraId="1962C15E"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4.42</w:t>
            </w:r>
          </w:p>
        </w:tc>
        <w:tc>
          <w:tcPr>
            <w:tcW w:w="1612" w:type="dxa"/>
            <w:tcBorders>
              <w:top w:val="nil"/>
              <w:left w:val="nil"/>
              <w:bottom w:val="nil"/>
              <w:right w:val="nil"/>
            </w:tcBorders>
            <w:shd w:val="clear" w:color="auto" w:fill="auto"/>
            <w:noWrap/>
            <w:vAlign w:val="bottom"/>
            <w:hideMark/>
          </w:tcPr>
          <w:p w14:paraId="7CA0E785"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4.28</w:t>
            </w:r>
          </w:p>
        </w:tc>
      </w:tr>
      <w:tr w:rsidR="00786582" w:rsidRPr="00786582" w14:paraId="0BADBA22" w14:textId="77777777" w:rsidTr="00786582">
        <w:trPr>
          <w:trHeight w:val="320"/>
        </w:trPr>
        <w:tc>
          <w:tcPr>
            <w:tcW w:w="1013" w:type="dxa"/>
            <w:tcBorders>
              <w:top w:val="nil"/>
              <w:left w:val="nil"/>
              <w:bottom w:val="nil"/>
              <w:right w:val="nil"/>
            </w:tcBorders>
            <w:shd w:val="clear" w:color="auto" w:fill="auto"/>
            <w:noWrap/>
            <w:vAlign w:val="bottom"/>
            <w:hideMark/>
          </w:tcPr>
          <w:p w14:paraId="571AB756"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2011</w:t>
            </w:r>
          </w:p>
        </w:tc>
        <w:tc>
          <w:tcPr>
            <w:tcW w:w="1059" w:type="dxa"/>
            <w:tcBorders>
              <w:top w:val="nil"/>
              <w:left w:val="nil"/>
              <w:bottom w:val="nil"/>
              <w:right w:val="nil"/>
            </w:tcBorders>
            <w:shd w:val="clear" w:color="auto" w:fill="auto"/>
            <w:noWrap/>
            <w:vAlign w:val="bottom"/>
            <w:hideMark/>
          </w:tcPr>
          <w:p w14:paraId="36F83EE7"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3.02</w:t>
            </w:r>
          </w:p>
        </w:tc>
        <w:tc>
          <w:tcPr>
            <w:tcW w:w="1059" w:type="dxa"/>
            <w:tcBorders>
              <w:top w:val="nil"/>
              <w:left w:val="nil"/>
              <w:bottom w:val="nil"/>
              <w:right w:val="nil"/>
            </w:tcBorders>
            <w:shd w:val="clear" w:color="auto" w:fill="auto"/>
            <w:noWrap/>
            <w:vAlign w:val="bottom"/>
            <w:hideMark/>
          </w:tcPr>
          <w:p w14:paraId="6C91E388"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3.38</w:t>
            </w:r>
          </w:p>
        </w:tc>
        <w:tc>
          <w:tcPr>
            <w:tcW w:w="1059" w:type="dxa"/>
            <w:tcBorders>
              <w:top w:val="nil"/>
              <w:left w:val="nil"/>
              <w:bottom w:val="nil"/>
              <w:right w:val="nil"/>
            </w:tcBorders>
            <w:shd w:val="clear" w:color="auto" w:fill="auto"/>
            <w:noWrap/>
            <w:vAlign w:val="bottom"/>
            <w:hideMark/>
          </w:tcPr>
          <w:p w14:paraId="33D2BA6A"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3.42</w:t>
            </w:r>
          </w:p>
        </w:tc>
        <w:tc>
          <w:tcPr>
            <w:tcW w:w="1059" w:type="dxa"/>
            <w:tcBorders>
              <w:top w:val="nil"/>
              <w:left w:val="nil"/>
              <w:bottom w:val="nil"/>
              <w:right w:val="nil"/>
            </w:tcBorders>
            <w:shd w:val="clear" w:color="auto" w:fill="auto"/>
            <w:noWrap/>
            <w:vAlign w:val="bottom"/>
            <w:hideMark/>
          </w:tcPr>
          <w:p w14:paraId="36463E77"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3.65</w:t>
            </w:r>
          </w:p>
        </w:tc>
        <w:tc>
          <w:tcPr>
            <w:tcW w:w="1384" w:type="dxa"/>
            <w:tcBorders>
              <w:top w:val="nil"/>
              <w:left w:val="nil"/>
              <w:bottom w:val="nil"/>
              <w:right w:val="nil"/>
            </w:tcBorders>
            <w:shd w:val="clear" w:color="auto" w:fill="auto"/>
            <w:noWrap/>
            <w:vAlign w:val="bottom"/>
            <w:hideMark/>
          </w:tcPr>
          <w:p w14:paraId="3FD7196C" w14:textId="07403E9E"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3.88</w:t>
            </w:r>
          </w:p>
        </w:tc>
        <w:tc>
          <w:tcPr>
            <w:tcW w:w="2155" w:type="dxa"/>
            <w:tcBorders>
              <w:top w:val="nil"/>
              <w:left w:val="nil"/>
              <w:bottom w:val="nil"/>
              <w:right w:val="nil"/>
            </w:tcBorders>
            <w:shd w:val="clear" w:color="auto" w:fill="auto"/>
            <w:noWrap/>
            <w:vAlign w:val="bottom"/>
            <w:hideMark/>
          </w:tcPr>
          <w:p w14:paraId="39F714EF"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3.99</w:t>
            </w:r>
          </w:p>
        </w:tc>
        <w:tc>
          <w:tcPr>
            <w:tcW w:w="1612" w:type="dxa"/>
            <w:tcBorders>
              <w:top w:val="nil"/>
              <w:left w:val="nil"/>
              <w:bottom w:val="nil"/>
              <w:right w:val="nil"/>
            </w:tcBorders>
            <w:shd w:val="clear" w:color="auto" w:fill="auto"/>
            <w:noWrap/>
            <w:vAlign w:val="bottom"/>
            <w:hideMark/>
          </w:tcPr>
          <w:p w14:paraId="56EAE05A"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3.98</w:t>
            </w:r>
          </w:p>
        </w:tc>
      </w:tr>
      <w:tr w:rsidR="00786582" w:rsidRPr="00786582" w14:paraId="7F2B2463" w14:textId="77777777" w:rsidTr="00786582">
        <w:trPr>
          <w:trHeight w:val="320"/>
        </w:trPr>
        <w:tc>
          <w:tcPr>
            <w:tcW w:w="1013" w:type="dxa"/>
            <w:tcBorders>
              <w:top w:val="nil"/>
              <w:left w:val="nil"/>
              <w:bottom w:val="nil"/>
              <w:right w:val="nil"/>
            </w:tcBorders>
            <w:shd w:val="clear" w:color="auto" w:fill="auto"/>
            <w:noWrap/>
            <w:vAlign w:val="bottom"/>
            <w:hideMark/>
          </w:tcPr>
          <w:p w14:paraId="22CA713C"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2012</w:t>
            </w:r>
          </w:p>
        </w:tc>
        <w:tc>
          <w:tcPr>
            <w:tcW w:w="1059" w:type="dxa"/>
            <w:tcBorders>
              <w:top w:val="nil"/>
              <w:left w:val="nil"/>
              <w:bottom w:val="nil"/>
              <w:right w:val="nil"/>
            </w:tcBorders>
            <w:shd w:val="clear" w:color="auto" w:fill="auto"/>
            <w:noWrap/>
            <w:vAlign w:val="bottom"/>
            <w:hideMark/>
          </w:tcPr>
          <w:p w14:paraId="4B66DE31"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2.22</w:t>
            </w:r>
          </w:p>
        </w:tc>
        <w:tc>
          <w:tcPr>
            <w:tcW w:w="1059" w:type="dxa"/>
            <w:tcBorders>
              <w:top w:val="nil"/>
              <w:left w:val="nil"/>
              <w:bottom w:val="nil"/>
              <w:right w:val="nil"/>
            </w:tcBorders>
            <w:shd w:val="clear" w:color="auto" w:fill="auto"/>
            <w:noWrap/>
            <w:vAlign w:val="bottom"/>
            <w:hideMark/>
          </w:tcPr>
          <w:p w14:paraId="4466DE02"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2.15</w:t>
            </w:r>
          </w:p>
        </w:tc>
        <w:tc>
          <w:tcPr>
            <w:tcW w:w="1059" w:type="dxa"/>
            <w:tcBorders>
              <w:top w:val="nil"/>
              <w:left w:val="nil"/>
              <w:bottom w:val="nil"/>
              <w:right w:val="nil"/>
            </w:tcBorders>
            <w:shd w:val="clear" w:color="auto" w:fill="auto"/>
            <w:noWrap/>
            <w:vAlign w:val="bottom"/>
            <w:hideMark/>
          </w:tcPr>
          <w:p w14:paraId="395FD542"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2.13</w:t>
            </w:r>
          </w:p>
        </w:tc>
        <w:tc>
          <w:tcPr>
            <w:tcW w:w="1059" w:type="dxa"/>
            <w:tcBorders>
              <w:top w:val="nil"/>
              <w:left w:val="nil"/>
              <w:bottom w:val="nil"/>
              <w:right w:val="nil"/>
            </w:tcBorders>
            <w:shd w:val="clear" w:color="auto" w:fill="auto"/>
            <w:noWrap/>
            <w:vAlign w:val="bottom"/>
            <w:hideMark/>
          </w:tcPr>
          <w:p w14:paraId="2C851959"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1.54</w:t>
            </w:r>
          </w:p>
        </w:tc>
        <w:tc>
          <w:tcPr>
            <w:tcW w:w="1384" w:type="dxa"/>
            <w:tcBorders>
              <w:top w:val="nil"/>
              <w:left w:val="nil"/>
              <w:bottom w:val="nil"/>
              <w:right w:val="nil"/>
            </w:tcBorders>
            <w:shd w:val="clear" w:color="auto" w:fill="auto"/>
            <w:noWrap/>
            <w:vAlign w:val="bottom"/>
            <w:hideMark/>
          </w:tcPr>
          <w:p w14:paraId="092A330B" w14:textId="06D8E54B"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1.89</w:t>
            </w:r>
          </w:p>
        </w:tc>
        <w:tc>
          <w:tcPr>
            <w:tcW w:w="2155" w:type="dxa"/>
            <w:tcBorders>
              <w:top w:val="nil"/>
              <w:left w:val="nil"/>
              <w:bottom w:val="nil"/>
              <w:right w:val="nil"/>
            </w:tcBorders>
            <w:shd w:val="clear" w:color="auto" w:fill="auto"/>
            <w:noWrap/>
            <w:vAlign w:val="bottom"/>
            <w:hideMark/>
          </w:tcPr>
          <w:p w14:paraId="32F4D9F4"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2.44</w:t>
            </w:r>
          </w:p>
        </w:tc>
        <w:tc>
          <w:tcPr>
            <w:tcW w:w="1612" w:type="dxa"/>
            <w:tcBorders>
              <w:top w:val="nil"/>
              <w:left w:val="nil"/>
              <w:bottom w:val="nil"/>
              <w:right w:val="nil"/>
            </w:tcBorders>
            <w:shd w:val="clear" w:color="auto" w:fill="auto"/>
            <w:noWrap/>
            <w:vAlign w:val="bottom"/>
            <w:hideMark/>
          </w:tcPr>
          <w:p w14:paraId="765A3EE1"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2.87</w:t>
            </w:r>
          </w:p>
        </w:tc>
      </w:tr>
      <w:tr w:rsidR="00786582" w:rsidRPr="00786582" w14:paraId="78C09D1F" w14:textId="77777777" w:rsidTr="00786582">
        <w:trPr>
          <w:trHeight w:val="320"/>
        </w:trPr>
        <w:tc>
          <w:tcPr>
            <w:tcW w:w="1013" w:type="dxa"/>
            <w:tcBorders>
              <w:top w:val="nil"/>
              <w:left w:val="nil"/>
              <w:bottom w:val="nil"/>
              <w:right w:val="nil"/>
            </w:tcBorders>
            <w:shd w:val="clear" w:color="auto" w:fill="auto"/>
            <w:noWrap/>
            <w:vAlign w:val="bottom"/>
            <w:hideMark/>
          </w:tcPr>
          <w:p w14:paraId="351FE479"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2013</w:t>
            </w:r>
          </w:p>
        </w:tc>
        <w:tc>
          <w:tcPr>
            <w:tcW w:w="1059" w:type="dxa"/>
            <w:tcBorders>
              <w:top w:val="nil"/>
              <w:left w:val="nil"/>
              <w:bottom w:val="nil"/>
              <w:right w:val="nil"/>
            </w:tcBorders>
            <w:shd w:val="clear" w:color="auto" w:fill="auto"/>
            <w:noWrap/>
            <w:vAlign w:val="bottom"/>
            <w:hideMark/>
          </w:tcPr>
          <w:p w14:paraId="238CCF33"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2.18</w:t>
            </w:r>
          </w:p>
        </w:tc>
        <w:tc>
          <w:tcPr>
            <w:tcW w:w="1059" w:type="dxa"/>
            <w:tcBorders>
              <w:top w:val="nil"/>
              <w:left w:val="nil"/>
              <w:bottom w:val="nil"/>
              <w:right w:val="nil"/>
            </w:tcBorders>
            <w:shd w:val="clear" w:color="auto" w:fill="auto"/>
            <w:noWrap/>
            <w:vAlign w:val="bottom"/>
            <w:hideMark/>
          </w:tcPr>
          <w:p w14:paraId="6BF597D0"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2.36</w:t>
            </w:r>
          </w:p>
        </w:tc>
        <w:tc>
          <w:tcPr>
            <w:tcW w:w="1059" w:type="dxa"/>
            <w:tcBorders>
              <w:top w:val="nil"/>
              <w:left w:val="nil"/>
              <w:bottom w:val="nil"/>
              <w:right w:val="nil"/>
            </w:tcBorders>
            <w:shd w:val="clear" w:color="auto" w:fill="auto"/>
            <w:noWrap/>
            <w:vAlign w:val="bottom"/>
            <w:hideMark/>
          </w:tcPr>
          <w:p w14:paraId="47CE00EC"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2.41</w:t>
            </w:r>
          </w:p>
        </w:tc>
        <w:tc>
          <w:tcPr>
            <w:tcW w:w="1059" w:type="dxa"/>
            <w:tcBorders>
              <w:top w:val="nil"/>
              <w:left w:val="nil"/>
              <w:bottom w:val="nil"/>
              <w:right w:val="nil"/>
            </w:tcBorders>
            <w:shd w:val="clear" w:color="auto" w:fill="auto"/>
            <w:noWrap/>
            <w:vAlign w:val="bottom"/>
            <w:hideMark/>
          </w:tcPr>
          <w:p w14:paraId="4506290A"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2.54</w:t>
            </w:r>
          </w:p>
        </w:tc>
        <w:tc>
          <w:tcPr>
            <w:tcW w:w="1384" w:type="dxa"/>
            <w:tcBorders>
              <w:top w:val="nil"/>
              <w:left w:val="nil"/>
              <w:bottom w:val="nil"/>
              <w:right w:val="nil"/>
            </w:tcBorders>
            <w:shd w:val="clear" w:color="auto" w:fill="auto"/>
            <w:noWrap/>
            <w:vAlign w:val="bottom"/>
            <w:hideMark/>
          </w:tcPr>
          <w:p w14:paraId="18612D2B" w14:textId="2A929D19"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3.49</w:t>
            </w:r>
          </w:p>
        </w:tc>
        <w:tc>
          <w:tcPr>
            <w:tcW w:w="2155" w:type="dxa"/>
            <w:tcBorders>
              <w:top w:val="nil"/>
              <w:left w:val="nil"/>
              <w:bottom w:val="nil"/>
              <w:right w:val="nil"/>
            </w:tcBorders>
            <w:shd w:val="clear" w:color="auto" w:fill="auto"/>
            <w:noWrap/>
            <w:vAlign w:val="bottom"/>
            <w:hideMark/>
          </w:tcPr>
          <w:p w14:paraId="630E7780"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3.65</w:t>
            </w:r>
          </w:p>
        </w:tc>
        <w:tc>
          <w:tcPr>
            <w:tcW w:w="1612" w:type="dxa"/>
            <w:tcBorders>
              <w:top w:val="nil"/>
              <w:left w:val="nil"/>
              <w:bottom w:val="nil"/>
              <w:right w:val="nil"/>
            </w:tcBorders>
            <w:shd w:val="clear" w:color="auto" w:fill="auto"/>
            <w:noWrap/>
            <w:vAlign w:val="bottom"/>
            <w:hideMark/>
          </w:tcPr>
          <w:p w14:paraId="3D0B6223"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3.20</w:t>
            </w:r>
          </w:p>
        </w:tc>
      </w:tr>
      <w:tr w:rsidR="00786582" w:rsidRPr="00786582" w14:paraId="334B23C9" w14:textId="77777777" w:rsidTr="00786582">
        <w:trPr>
          <w:trHeight w:val="320"/>
        </w:trPr>
        <w:tc>
          <w:tcPr>
            <w:tcW w:w="1013" w:type="dxa"/>
            <w:tcBorders>
              <w:top w:val="nil"/>
              <w:left w:val="nil"/>
              <w:bottom w:val="nil"/>
              <w:right w:val="nil"/>
            </w:tcBorders>
            <w:shd w:val="clear" w:color="auto" w:fill="auto"/>
            <w:noWrap/>
            <w:vAlign w:val="bottom"/>
            <w:hideMark/>
          </w:tcPr>
          <w:p w14:paraId="1058A840"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2014</w:t>
            </w:r>
          </w:p>
        </w:tc>
        <w:tc>
          <w:tcPr>
            <w:tcW w:w="1059" w:type="dxa"/>
            <w:tcBorders>
              <w:top w:val="nil"/>
              <w:left w:val="nil"/>
              <w:bottom w:val="nil"/>
              <w:right w:val="nil"/>
            </w:tcBorders>
            <w:shd w:val="clear" w:color="auto" w:fill="auto"/>
            <w:noWrap/>
            <w:vAlign w:val="bottom"/>
            <w:hideMark/>
          </w:tcPr>
          <w:p w14:paraId="343B47A3"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1.63</w:t>
            </w:r>
          </w:p>
        </w:tc>
        <w:tc>
          <w:tcPr>
            <w:tcW w:w="1059" w:type="dxa"/>
            <w:tcBorders>
              <w:top w:val="nil"/>
              <w:left w:val="nil"/>
              <w:bottom w:val="nil"/>
              <w:right w:val="nil"/>
            </w:tcBorders>
            <w:shd w:val="clear" w:color="auto" w:fill="auto"/>
            <w:noWrap/>
            <w:vAlign w:val="bottom"/>
            <w:hideMark/>
          </w:tcPr>
          <w:p w14:paraId="61380E61"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2.02</w:t>
            </w:r>
          </w:p>
        </w:tc>
        <w:tc>
          <w:tcPr>
            <w:tcW w:w="1059" w:type="dxa"/>
            <w:tcBorders>
              <w:top w:val="nil"/>
              <w:left w:val="nil"/>
              <w:bottom w:val="nil"/>
              <w:right w:val="nil"/>
            </w:tcBorders>
            <w:shd w:val="clear" w:color="auto" w:fill="auto"/>
            <w:noWrap/>
            <w:vAlign w:val="bottom"/>
            <w:hideMark/>
          </w:tcPr>
          <w:p w14:paraId="3E8C9B18"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2.14</w:t>
            </w:r>
          </w:p>
        </w:tc>
        <w:tc>
          <w:tcPr>
            <w:tcW w:w="1059" w:type="dxa"/>
            <w:tcBorders>
              <w:top w:val="nil"/>
              <w:left w:val="nil"/>
              <w:bottom w:val="nil"/>
              <w:right w:val="nil"/>
            </w:tcBorders>
            <w:shd w:val="clear" w:color="auto" w:fill="auto"/>
            <w:noWrap/>
            <w:vAlign w:val="bottom"/>
            <w:hideMark/>
          </w:tcPr>
          <w:p w14:paraId="3326CB3A"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2.28</w:t>
            </w:r>
          </w:p>
        </w:tc>
        <w:tc>
          <w:tcPr>
            <w:tcW w:w="1384" w:type="dxa"/>
            <w:tcBorders>
              <w:top w:val="nil"/>
              <w:left w:val="nil"/>
              <w:bottom w:val="nil"/>
              <w:right w:val="nil"/>
            </w:tcBorders>
            <w:shd w:val="clear" w:color="auto" w:fill="auto"/>
            <w:noWrap/>
            <w:vAlign w:val="bottom"/>
            <w:hideMark/>
          </w:tcPr>
          <w:p w14:paraId="724F2BEF" w14:textId="6FE594E9"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2.38</w:t>
            </w:r>
          </w:p>
        </w:tc>
        <w:tc>
          <w:tcPr>
            <w:tcW w:w="2155" w:type="dxa"/>
            <w:tcBorders>
              <w:top w:val="nil"/>
              <w:left w:val="nil"/>
              <w:bottom w:val="nil"/>
              <w:right w:val="nil"/>
            </w:tcBorders>
            <w:shd w:val="clear" w:color="auto" w:fill="auto"/>
            <w:noWrap/>
            <w:vAlign w:val="bottom"/>
            <w:hideMark/>
          </w:tcPr>
          <w:p w14:paraId="6255750C"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2.43</w:t>
            </w:r>
          </w:p>
        </w:tc>
        <w:tc>
          <w:tcPr>
            <w:tcW w:w="1612" w:type="dxa"/>
            <w:tcBorders>
              <w:top w:val="nil"/>
              <w:left w:val="nil"/>
              <w:bottom w:val="nil"/>
              <w:right w:val="nil"/>
            </w:tcBorders>
            <w:shd w:val="clear" w:color="auto" w:fill="auto"/>
            <w:noWrap/>
            <w:vAlign w:val="bottom"/>
            <w:hideMark/>
          </w:tcPr>
          <w:p w14:paraId="037825B4"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2.42</w:t>
            </w:r>
          </w:p>
        </w:tc>
      </w:tr>
      <w:tr w:rsidR="00786582" w:rsidRPr="00786582" w14:paraId="0165D3A3" w14:textId="77777777" w:rsidTr="00786582">
        <w:trPr>
          <w:trHeight w:val="320"/>
        </w:trPr>
        <w:tc>
          <w:tcPr>
            <w:tcW w:w="1013" w:type="dxa"/>
            <w:tcBorders>
              <w:top w:val="nil"/>
              <w:left w:val="nil"/>
              <w:bottom w:val="nil"/>
              <w:right w:val="nil"/>
            </w:tcBorders>
            <w:shd w:val="clear" w:color="auto" w:fill="auto"/>
            <w:noWrap/>
            <w:vAlign w:val="bottom"/>
            <w:hideMark/>
          </w:tcPr>
          <w:p w14:paraId="64A8B51A"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2015</w:t>
            </w:r>
          </w:p>
        </w:tc>
        <w:tc>
          <w:tcPr>
            <w:tcW w:w="1059" w:type="dxa"/>
            <w:tcBorders>
              <w:top w:val="nil"/>
              <w:left w:val="nil"/>
              <w:bottom w:val="nil"/>
              <w:right w:val="nil"/>
            </w:tcBorders>
            <w:shd w:val="clear" w:color="auto" w:fill="auto"/>
            <w:noWrap/>
            <w:vAlign w:val="bottom"/>
            <w:hideMark/>
          </w:tcPr>
          <w:p w14:paraId="3738938B"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2.25</w:t>
            </w:r>
          </w:p>
        </w:tc>
        <w:tc>
          <w:tcPr>
            <w:tcW w:w="1059" w:type="dxa"/>
            <w:tcBorders>
              <w:top w:val="nil"/>
              <w:left w:val="nil"/>
              <w:bottom w:val="nil"/>
              <w:right w:val="nil"/>
            </w:tcBorders>
            <w:shd w:val="clear" w:color="auto" w:fill="auto"/>
            <w:noWrap/>
            <w:vAlign w:val="bottom"/>
            <w:hideMark/>
          </w:tcPr>
          <w:p w14:paraId="108100F5"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2.53</w:t>
            </w:r>
          </w:p>
        </w:tc>
        <w:tc>
          <w:tcPr>
            <w:tcW w:w="1059" w:type="dxa"/>
            <w:tcBorders>
              <w:top w:val="nil"/>
              <w:left w:val="nil"/>
              <w:bottom w:val="nil"/>
              <w:right w:val="nil"/>
            </w:tcBorders>
            <w:shd w:val="clear" w:color="auto" w:fill="auto"/>
            <w:noWrap/>
            <w:vAlign w:val="bottom"/>
            <w:hideMark/>
          </w:tcPr>
          <w:p w14:paraId="400E7917"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2.68</w:t>
            </w:r>
          </w:p>
        </w:tc>
        <w:tc>
          <w:tcPr>
            <w:tcW w:w="1059" w:type="dxa"/>
            <w:tcBorders>
              <w:top w:val="nil"/>
              <w:left w:val="nil"/>
              <w:bottom w:val="nil"/>
              <w:right w:val="nil"/>
            </w:tcBorders>
            <w:shd w:val="clear" w:color="auto" w:fill="auto"/>
            <w:noWrap/>
            <w:vAlign w:val="bottom"/>
            <w:hideMark/>
          </w:tcPr>
          <w:p w14:paraId="06484924"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2.79</w:t>
            </w:r>
          </w:p>
        </w:tc>
        <w:tc>
          <w:tcPr>
            <w:tcW w:w="1384" w:type="dxa"/>
            <w:tcBorders>
              <w:top w:val="nil"/>
              <w:left w:val="nil"/>
              <w:bottom w:val="nil"/>
              <w:right w:val="nil"/>
            </w:tcBorders>
            <w:shd w:val="clear" w:color="auto" w:fill="auto"/>
            <w:noWrap/>
            <w:vAlign w:val="bottom"/>
            <w:hideMark/>
          </w:tcPr>
          <w:p w14:paraId="1E2A9F21" w14:textId="6B83CE12"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3.22</w:t>
            </w:r>
          </w:p>
        </w:tc>
        <w:tc>
          <w:tcPr>
            <w:tcW w:w="2155" w:type="dxa"/>
            <w:tcBorders>
              <w:top w:val="nil"/>
              <w:left w:val="nil"/>
              <w:bottom w:val="nil"/>
              <w:right w:val="nil"/>
            </w:tcBorders>
            <w:shd w:val="clear" w:color="auto" w:fill="auto"/>
            <w:noWrap/>
            <w:vAlign w:val="bottom"/>
            <w:hideMark/>
          </w:tcPr>
          <w:p w14:paraId="64277F8A"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2.95</w:t>
            </w:r>
          </w:p>
        </w:tc>
        <w:tc>
          <w:tcPr>
            <w:tcW w:w="1612" w:type="dxa"/>
            <w:tcBorders>
              <w:top w:val="nil"/>
              <w:left w:val="nil"/>
              <w:bottom w:val="nil"/>
              <w:right w:val="nil"/>
            </w:tcBorders>
            <w:shd w:val="clear" w:color="auto" w:fill="auto"/>
            <w:noWrap/>
            <w:vAlign w:val="bottom"/>
            <w:hideMark/>
          </w:tcPr>
          <w:p w14:paraId="5A54C712"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2.96</w:t>
            </w:r>
          </w:p>
        </w:tc>
      </w:tr>
      <w:tr w:rsidR="00786582" w:rsidRPr="00786582" w14:paraId="461DFF0D" w14:textId="77777777" w:rsidTr="00786582">
        <w:trPr>
          <w:trHeight w:val="320"/>
        </w:trPr>
        <w:tc>
          <w:tcPr>
            <w:tcW w:w="1013" w:type="dxa"/>
            <w:tcBorders>
              <w:top w:val="nil"/>
              <w:left w:val="nil"/>
              <w:bottom w:val="nil"/>
              <w:right w:val="nil"/>
            </w:tcBorders>
            <w:shd w:val="clear" w:color="auto" w:fill="auto"/>
            <w:noWrap/>
            <w:vAlign w:val="bottom"/>
            <w:hideMark/>
          </w:tcPr>
          <w:p w14:paraId="3A74BC61"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2016</w:t>
            </w:r>
          </w:p>
        </w:tc>
        <w:tc>
          <w:tcPr>
            <w:tcW w:w="1059" w:type="dxa"/>
            <w:tcBorders>
              <w:top w:val="nil"/>
              <w:left w:val="nil"/>
              <w:bottom w:val="nil"/>
              <w:right w:val="nil"/>
            </w:tcBorders>
            <w:shd w:val="clear" w:color="auto" w:fill="auto"/>
            <w:noWrap/>
            <w:vAlign w:val="bottom"/>
            <w:hideMark/>
          </w:tcPr>
          <w:p w14:paraId="2B6B9681"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2.34</w:t>
            </w:r>
          </w:p>
        </w:tc>
        <w:tc>
          <w:tcPr>
            <w:tcW w:w="1059" w:type="dxa"/>
            <w:tcBorders>
              <w:top w:val="nil"/>
              <w:left w:val="nil"/>
              <w:bottom w:val="nil"/>
              <w:right w:val="nil"/>
            </w:tcBorders>
            <w:shd w:val="clear" w:color="auto" w:fill="auto"/>
            <w:noWrap/>
            <w:vAlign w:val="bottom"/>
            <w:hideMark/>
          </w:tcPr>
          <w:p w14:paraId="597999D2"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2.68</w:t>
            </w:r>
          </w:p>
        </w:tc>
        <w:tc>
          <w:tcPr>
            <w:tcW w:w="1059" w:type="dxa"/>
            <w:tcBorders>
              <w:top w:val="nil"/>
              <w:left w:val="nil"/>
              <w:bottom w:val="nil"/>
              <w:right w:val="nil"/>
            </w:tcBorders>
            <w:shd w:val="clear" w:color="auto" w:fill="auto"/>
            <w:noWrap/>
            <w:vAlign w:val="bottom"/>
            <w:hideMark/>
          </w:tcPr>
          <w:p w14:paraId="290EE7A8"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2.71</w:t>
            </w:r>
          </w:p>
        </w:tc>
        <w:tc>
          <w:tcPr>
            <w:tcW w:w="1059" w:type="dxa"/>
            <w:tcBorders>
              <w:top w:val="nil"/>
              <w:left w:val="nil"/>
              <w:bottom w:val="nil"/>
              <w:right w:val="nil"/>
            </w:tcBorders>
            <w:shd w:val="clear" w:color="auto" w:fill="auto"/>
            <w:noWrap/>
            <w:vAlign w:val="bottom"/>
            <w:hideMark/>
          </w:tcPr>
          <w:p w14:paraId="3BD9CDC1"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2.77</w:t>
            </w:r>
          </w:p>
        </w:tc>
        <w:tc>
          <w:tcPr>
            <w:tcW w:w="1384" w:type="dxa"/>
            <w:tcBorders>
              <w:top w:val="nil"/>
              <w:left w:val="nil"/>
              <w:bottom w:val="nil"/>
              <w:right w:val="nil"/>
            </w:tcBorders>
            <w:shd w:val="clear" w:color="auto" w:fill="auto"/>
            <w:noWrap/>
            <w:vAlign w:val="bottom"/>
            <w:hideMark/>
          </w:tcPr>
          <w:p w14:paraId="2DB74805" w14:textId="606745A1"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3.36</w:t>
            </w:r>
          </w:p>
        </w:tc>
        <w:tc>
          <w:tcPr>
            <w:tcW w:w="2155" w:type="dxa"/>
            <w:tcBorders>
              <w:top w:val="nil"/>
              <w:left w:val="nil"/>
              <w:bottom w:val="nil"/>
              <w:right w:val="nil"/>
            </w:tcBorders>
            <w:shd w:val="clear" w:color="auto" w:fill="auto"/>
            <w:noWrap/>
            <w:vAlign w:val="bottom"/>
            <w:hideMark/>
          </w:tcPr>
          <w:p w14:paraId="6B52B8A9"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2.89</w:t>
            </w:r>
          </w:p>
        </w:tc>
        <w:tc>
          <w:tcPr>
            <w:tcW w:w="1612" w:type="dxa"/>
            <w:tcBorders>
              <w:top w:val="nil"/>
              <w:left w:val="nil"/>
              <w:bottom w:val="nil"/>
              <w:right w:val="nil"/>
            </w:tcBorders>
            <w:shd w:val="clear" w:color="auto" w:fill="auto"/>
            <w:noWrap/>
            <w:vAlign w:val="bottom"/>
            <w:hideMark/>
          </w:tcPr>
          <w:p w14:paraId="5F832B38"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2.40</w:t>
            </w:r>
          </w:p>
        </w:tc>
      </w:tr>
      <w:tr w:rsidR="00786582" w:rsidRPr="00786582" w14:paraId="51614396" w14:textId="77777777" w:rsidTr="00786582">
        <w:trPr>
          <w:trHeight w:val="320"/>
        </w:trPr>
        <w:tc>
          <w:tcPr>
            <w:tcW w:w="1013" w:type="dxa"/>
            <w:tcBorders>
              <w:top w:val="nil"/>
              <w:left w:val="nil"/>
              <w:bottom w:val="nil"/>
              <w:right w:val="nil"/>
            </w:tcBorders>
            <w:shd w:val="clear" w:color="auto" w:fill="auto"/>
            <w:noWrap/>
            <w:vAlign w:val="bottom"/>
            <w:hideMark/>
          </w:tcPr>
          <w:p w14:paraId="07CE6B4B" w14:textId="77777777" w:rsidR="00786582" w:rsidRPr="00786582" w:rsidRDefault="00786582" w:rsidP="00786582">
            <w:pPr>
              <w:jc w:val="right"/>
              <w:rPr>
                <w:rFonts w:ascii="Calibri" w:eastAsia="Times New Roman" w:hAnsi="Calibri" w:cs="Calibri"/>
                <w:sz w:val="20"/>
                <w:szCs w:val="20"/>
              </w:rPr>
            </w:pPr>
            <w:r w:rsidRPr="00786582">
              <w:rPr>
                <w:rFonts w:ascii="Calibri" w:eastAsia="Times New Roman" w:hAnsi="Calibri" w:cs="Calibri"/>
                <w:sz w:val="20"/>
                <w:szCs w:val="20"/>
              </w:rPr>
              <w:t>2017</w:t>
            </w:r>
          </w:p>
        </w:tc>
        <w:tc>
          <w:tcPr>
            <w:tcW w:w="1059" w:type="dxa"/>
            <w:tcBorders>
              <w:top w:val="nil"/>
              <w:left w:val="nil"/>
              <w:bottom w:val="nil"/>
              <w:right w:val="nil"/>
            </w:tcBorders>
            <w:shd w:val="clear" w:color="auto" w:fill="auto"/>
            <w:noWrap/>
            <w:vAlign w:val="bottom"/>
            <w:hideMark/>
          </w:tcPr>
          <w:p w14:paraId="14F6E05C"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1.93</w:t>
            </w:r>
          </w:p>
        </w:tc>
        <w:tc>
          <w:tcPr>
            <w:tcW w:w="1059" w:type="dxa"/>
            <w:tcBorders>
              <w:top w:val="nil"/>
              <w:left w:val="nil"/>
              <w:bottom w:val="nil"/>
              <w:right w:val="nil"/>
            </w:tcBorders>
            <w:shd w:val="clear" w:color="auto" w:fill="auto"/>
            <w:noWrap/>
            <w:vAlign w:val="bottom"/>
            <w:hideMark/>
          </w:tcPr>
          <w:p w14:paraId="5E09E12B"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2.09</w:t>
            </w:r>
          </w:p>
        </w:tc>
        <w:tc>
          <w:tcPr>
            <w:tcW w:w="1059" w:type="dxa"/>
            <w:tcBorders>
              <w:top w:val="nil"/>
              <w:left w:val="nil"/>
              <w:bottom w:val="nil"/>
              <w:right w:val="nil"/>
            </w:tcBorders>
            <w:shd w:val="clear" w:color="auto" w:fill="auto"/>
            <w:noWrap/>
            <w:vAlign w:val="bottom"/>
            <w:hideMark/>
          </w:tcPr>
          <w:p w14:paraId="3C100DDB"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2.06</w:t>
            </w:r>
          </w:p>
        </w:tc>
        <w:tc>
          <w:tcPr>
            <w:tcW w:w="1059" w:type="dxa"/>
            <w:tcBorders>
              <w:top w:val="nil"/>
              <w:left w:val="nil"/>
              <w:bottom w:val="nil"/>
              <w:right w:val="nil"/>
            </w:tcBorders>
            <w:shd w:val="clear" w:color="auto" w:fill="auto"/>
            <w:noWrap/>
            <w:vAlign w:val="bottom"/>
            <w:hideMark/>
          </w:tcPr>
          <w:p w14:paraId="4EF05F3A" w14:textId="77777777" w:rsidR="00786582" w:rsidRPr="00786582" w:rsidRDefault="00786582" w:rsidP="00786582">
            <w:pPr>
              <w:jc w:val="right"/>
              <w:rPr>
                <w:rFonts w:ascii="Calibri" w:eastAsia="Times New Roman" w:hAnsi="Calibri" w:cs="Calibri"/>
                <w:color w:val="000000"/>
              </w:rPr>
            </w:pPr>
            <w:r w:rsidRPr="00786582">
              <w:rPr>
                <w:rFonts w:ascii="Calibri" w:eastAsia="Times New Roman" w:hAnsi="Calibri" w:cs="Calibri"/>
                <w:color w:val="000000"/>
              </w:rPr>
              <w:t>2.32</w:t>
            </w:r>
          </w:p>
        </w:tc>
        <w:tc>
          <w:tcPr>
            <w:tcW w:w="1384" w:type="dxa"/>
            <w:tcBorders>
              <w:top w:val="nil"/>
              <w:left w:val="nil"/>
              <w:bottom w:val="nil"/>
              <w:right w:val="nil"/>
            </w:tcBorders>
            <w:shd w:val="clear" w:color="auto" w:fill="auto"/>
            <w:noWrap/>
            <w:vAlign w:val="bottom"/>
            <w:hideMark/>
          </w:tcPr>
          <w:p w14:paraId="768217A6" w14:textId="02B1DE95" w:rsidR="00786582" w:rsidRPr="00786582" w:rsidRDefault="00786582" w:rsidP="00786582">
            <w:pPr>
              <w:jc w:val="center"/>
              <w:rPr>
                <w:rFonts w:ascii="Calibri" w:eastAsia="Times New Roman" w:hAnsi="Calibri" w:cs="Calibri"/>
                <w:color w:val="000000"/>
              </w:rPr>
            </w:pPr>
            <w:r>
              <w:rPr>
                <w:rFonts w:ascii="Calibri" w:eastAsia="Times New Roman" w:hAnsi="Calibri" w:cs="Calibri"/>
                <w:color w:val="000000"/>
              </w:rPr>
              <w:t xml:space="preserve">         </w:t>
            </w:r>
            <w:r w:rsidRPr="00786582">
              <w:rPr>
                <w:rFonts w:ascii="Calibri" w:eastAsia="Times New Roman" w:hAnsi="Calibri" w:cs="Calibri"/>
                <w:color w:val="000000"/>
              </w:rPr>
              <w:t>2.70</w:t>
            </w:r>
          </w:p>
        </w:tc>
        <w:tc>
          <w:tcPr>
            <w:tcW w:w="2155" w:type="dxa"/>
            <w:tcBorders>
              <w:top w:val="nil"/>
              <w:left w:val="nil"/>
              <w:bottom w:val="nil"/>
              <w:right w:val="nil"/>
            </w:tcBorders>
            <w:shd w:val="clear" w:color="auto" w:fill="auto"/>
            <w:noWrap/>
            <w:vAlign w:val="bottom"/>
            <w:hideMark/>
          </w:tcPr>
          <w:p w14:paraId="77D22480" w14:textId="77777777" w:rsidR="00786582" w:rsidRPr="00786582" w:rsidRDefault="00786582" w:rsidP="00786582">
            <w:pPr>
              <w:jc w:val="center"/>
              <w:rPr>
                <w:rFonts w:ascii="Calibri" w:eastAsia="Times New Roman" w:hAnsi="Calibri" w:cs="Calibri"/>
                <w:color w:val="000000"/>
              </w:rPr>
            </w:pPr>
            <w:r w:rsidRPr="00786582">
              <w:rPr>
                <w:rFonts w:ascii="Calibri" w:eastAsia="Times New Roman" w:hAnsi="Calibri" w:cs="Calibri"/>
                <w:color w:val="000000"/>
              </w:rPr>
              <w:t>2.78</w:t>
            </w:r>
          </w:p>
        </w:tc>
        <w:tc>
          <w:tcPr>
            <w:tcW w:w="1612" w:type="dxa"/>
            <w:tcBorders>
              <w:top w:val="nil"/>
              <w:left w:val="nil"/>
              <w:bottom w:val="nil"/>
              <w:right w:val="nil"/>
            </w:tcBorders>
            <w:shd w:val="clear" w:color="auto" w:fill="auto"/>
            <w:noWrap/>
            <w:vAlign w:val="bottom"/>
            <w:hideMark/>
          </w:tcPr>
          <w:p w14:paraId="53CF439A" w14:textId="77777777" w:rsidR="00786582" w:rsidRPr="00786582" w:rsidRDefault="00786582" w:rsidP="00786582">
            <w:pPr>
              <w:rPr>
                <w:rFonts w:ascii="Calibri" w:eastAsia="Times New Roman" w:hAnsi="Calibri" w:cs="Calibri"/>
                <w:color w:val="000000"/>
              </w:rPr>
            </w:pPr>
            <w:r w:rsidRPr="00786582">
              <w:rPr>
                <w:rFonts w:ascii="Calibri" w:eastAsia="Times New Roman" w:hAnsi="Calibri" w:cs="Calibri"/>
                <w:color w:val="000000"/>
              </w:rPr>
              <w:t>2.78</w:t>
            </w:r>
          </w:p>
        </w:tc>
      </w:tr>
    </w:tbl>
    <w:p w14:paraId="214DA8DE" w14:textId="77777777" w:rsidR="00786582" w:rsidRPr="00786582" w:rsidRDefault="00786582" w:rsidP="00786582">
      <w:pPr>
        <w:jc w:val="center"/>
        <w:rPr>
          <w:rFonts w:ascii="Times New Roman" w:eastAsia="Times New Roman" w:hAnsi="Times New Roman" w:cs="Times New Roman"/>
          <w:sz w:val="22"/>
          <w:szCs w:val="22"/>
        </w:rPr>
      </w:pPr>
    </w:p>
    <w:p w14:paraId="2CA8CA4A" w14:textId="62654E9A" w:rsidR="00A179DF" w:rsidRDefault="00A179DF" w:rsidP="00F87C2B">
      <w:pPr>
        <w:rPr>
          <w:rFonts w:ascii="Times New Roman" w:eastAsia="Times New Roman" w:hAnsi="Times New Roman" w:cs="Times New Roman"/>
          <w:sz w:val="22"/>
          <w:szCs w:val="22"/>
        </w:rPr>
      </w:pPr>
    </w:p>
    <w:p w14:paraId="638552FE" w14:textId="0CCDCD71" w:rsidR="00A179DF" w:rsidRDefault="00A179DF" w:rsidP="00F87C2B">
      <w:pPr>
        <w:rPr>
          <w:rFonts w:ascii="Times New Roman" w:eastAsia="Times New Roman" w:hAnsi="Times New Roman" w:cs="Times New Roman"/>
          <w:sz w:val="22"/>
          <w:szCs w:val="22"/>
        </w:rPr>
      </w:pPr>
    </w:p>
    <w:p w14:paraId="4E4F227F" w14:textId="77777777" w:rsidR="00A179DF" w:rsidRPr="00F60941" w:rsidRDefault="00A179DF" w:rsidP="00F87C2B">
      <w:pPr>
        <w:rPr>
          <w:rFonts w:ascii="Times New Roman" w:eastAsia="Times New Roman" w:hAnsi="Times New Roman" w:cs="Times New Roman"/>
          <w:sz w:val="22"/>
          <w:szCs w:val="22"/>
        </w:rPr>
      </w:pPr>
    </w:p>
    <w:p w14:paraId="41362822" w14:textId="08CD14C5" w:rsidR="00F60941" w:rsidRDefault="00F60941" w:rsidP="00F60941">
      <w:pPr>
        <w:jc w:val="both"/>
      </w:pPr>
    </w:p>
    <w:p w14:paraId="3EA27D31" w14:textId="7AA9A068" w:rsidR="00786582" w:rsidRDefault="00786582" w:rsidP="00F60941">
      <w:pPr>
        <w:jc w:val="both"/>
      </w:pPr>
    </w:p>
    <w:p w14:paraId="368EEA27" w14:textId="77777777" w:rsidR="00BF53F8" w:rsidRDefault="00BF53F8" w:rsidP="00786582">
      <w:pPr>
        <w:jc w:val="center"/>
        <w:rPr>
          <w:b/>
          <w:bCs/>
        </w:rPr>
      </w:pPr>
    </w:p>
    <w:p w14:paraId="25C2C7D5" w14:textId="77777777" w:rsidR="00BF53F8" w:rsidRDefault="00BF53F8" w:rsidP="00786582">
      <w:pPr>
        <w:jc w:val="center"/>
        <w:rPr>
          <w:b/>
          <w:bCs/>
        </w:rPr>
      </w:pPr>
    </w:p>
    <w:p w14:paraId="08902720" w14:textId="77777777" w:rsidR="00BF53F8" w:rsidRDefault="00BF53F8" w:rsidP="00786582">
      <w:pPr>
        <w:jc w:val="center"/>
        <w:rPr>
          <w:b/>
          <w:bCs/>
        </w:rPr>
      </w:pPr>
    </w:p>
    <w:p w14:paraId="587BAD4A" w14:textId="3C78FD09" w:rsidR="00786582" w:rsidRDefault="00786582" w:rsidP="00786582">
      <w:pPr>
        <w:jc w:val="center"/>
        <w:rPr>
          <w:b/>
          <w:bCs/>
        </w:rPr>
      </w:pPr>
      <w:r>
        <w:rPr>
          <w:b/>
          <w:bCs/>
        </w:rPr>
        <w:t>Conclusion Questions</w:t>
      </w:r>
    </w:p>
    <w:p w14:paraId="50292304" w14:textId="55313DEC" w:rsidR="00786582" w:rsidRDefault="00786582" w:rsidP="00786582">
      <w:pPr>
        <w:jc w:val="center"/>
        <w:rPr>
          <w:sz w:val="22"/>
          <w:szCs w:val="22"/>
        </w:rPr>
      </w:pPr>
    </w:p>
    <w:p w14:paraId="5D216F08" w14:textId="66AD801D" w:rsidR="00786582" w:rsidRDefault="00786582" w:rsidP="00786582">
      <w:pPr>
        <w:jc w:val="center"/>
        <w:rPr>
          <w:sz w:val="22"/>
          <w:szCs w:val="22"/>
        </w:rPr>
      </w:pPr>
    </w:p>
    <w:p w14:paraId="2918BC31" w14:textId="0D43AD89" w:rsidR="00786582" w:rsidRDefault="00786582" w:rsidP="00786582">
      <w:pPr>
        <w:jc w:val="center"/>
        <w:rPr>
          <w:sz w:val="22"/>
          <w:szCs w:val="22"/>
        </w:rPr>
      </w:pPr>
      <w:r>
        <w:rPr>
          <w:sz w:val="22"/>
          <w:szCs w:val="22"/>
        </w:rPr>
        <w:t>What is the overall trend of the groundwater level? Is it getting shallower or deeper over time?</w:t>
      </w:r>
    </w:p>
    <w:p w14:paraId="78651464" w14:textId="58CC464C" w:rsidR="00BF53F8" w:rsidRDefault="00BF53F8" w:rsidP="00786582">
      <w:pPr>
        <w:jc w:val="center"/>
        <w:rPr>
          <w:sz w:val="22"/>
          <w:szCs w:val="22"/>
        </w:rPr>
      </w:pPr>
    </w:p>
    <w:p w14:paraId="2FB1C91F" w14:textId="527D793C" w:rsidR="00BF53F8" w:rsidRDefault="00BF53F8" w:rsidP="00786582">
      <w:pPr>
        <w:jc w:val="center"/>
        <w:rPr>
          <w:sz w:val="22"/>
          <w:szCs w:val="22"/>
        </w:rPr>
      </w:pPr>
    </w:p>
    <w:p w14:paraId="32A0DDDF" w14:textId="606C7D24" w:rsidR="00BF53F8" w:rsidRDefault="00BF53F8" w:rsidP="00786582">
      <w:pPr>
        <w:jc w:val="center"/>
        <w:rPr>
          <w:sz w:val="22"/>
          <w:szCs w:val="22"/>
        </w:rPr>
      </w:pPr>
    </w:p>
    <w:p w14:paraId="3D09B2B5" w14:textId="3819A16C" w:rsidR="00BF53F8" w:rsidRDefault="00BF53F8" w:rsidP="00786582">
      <w:pPr>
        <w:jc w:val="center"/>
        <w:rPr>
          <w:sz w:val="22"/>
          <w:szCs w:val="22"/>
        </w:rPr>
      </w:pPr>
    </w:p>
    <w:p w14:paraId="494AB3F3" w14:textId="77777777" w:rsidR="00D81925" w:rsidRDefault="00D81925" w:rsidP="00D81925">
      <w:pPr>
        <w:jc w:val="center"/>
        <w:rPr>
          <w:sz w:val="22"/>
          <w:szCs w:val="22"/>
        </w:rPr>
      </w:pPr>
    </w:p>
    <w:p w14:paraId="0BA8A664" w14:textId="77777777" w:rsidR="00D81925" w:rsidRDefault="00D81925" w:rsidP="00D81925">
      <w:pPr>
        <w:jc w:val="center"/>
        <w:rPr>
          <w:sz w:val="22"/>
          <w:szCs w:val="22"/>
        </w:rPr>
      </w:pPr>
    </w:p>
    <w:p w14:paraId="4A5273A4" w14:textId="51E6506F" w:rsidR="00BF53F8" w:rsidRDefault="00BF53F8" w:rsidP="00D81925">
      <w:pPr>
        <w:jc w:val="center"/>
        <w:rPr>
          <w:sz w:val="22"/>
          <w:szCs w:val="22"/>
        </w:rPr>
      </w:pPr>
      <w:r>
        <w:rPr>
          <w:sz w:val="22"/>
          <w:szCs w:val="22"/>
        </w:rPr>
        <w:t>Are there any years that the level breaks the pattern? Why do you think this is? What might affect the groundwater level in a given year?</w:t>
      </w:r>
    </w:p>
    <w:p w14:paraId="077AF296" w14:textId="12B921DD" w:rsidR="00BF53F8" w:rsidRDefault="00BF53F8" w:rsidP="00786582">
      <w:pPr>
        <w:jc w:val="center"/>
        <w:rPr>
          <w:sz w:val="22"/>
          <w:szCs w:val="22"/>
        </w:rPr>
      </w:pPr>
    </w:p>
    <w:p w14:paraId="6354C5B1" w14:textId="46311029" w:rsidR="00BF53F8" w:rsidRDefault="00BF53F8" w:rsidP="00786582">
      <w:pPr>
        <w:jc w:val="center"/>
        <w:rPr>
          <w:sz w:val="22"/>
          <w:szCs w:val="22"/>
        </w:rPr>
      </w:pPr>
    </w:p>
    <w:p w14:paraId="6345CE35" w14:textId="0804B4E1" w:rsidR="00BF53F8" w:rsidRDefault="00BF53F8" w:rsidP="00786582">
      <w:pPr>
        <w:jc w:val="center"/>
        <w:rPr>
          <w:sz w:val="22"/>
          <w:szCs w:val="22"/>
        </w:rPr>
      </w:pPr>
    </w:p>
    <w:p w14:paraId="379BC540" w14:textId="6DEAF3DA" w:rsidR="00BF53F8" w:rsidRDefault="00BF53F8" w:rsidP="00786582">
      <w:pPr>
        <w:jc w:val="center"/>
        <w:rPr>
          <w:sz w:val="22"/>
          <w:szCs w:val="22"/>
        </w:rPr>
      </w:pPr>
    </w:p>
    <w:p w14:paraId="16406196" w14:textId="77777777" w:rsidR="00D81925" w:rsidRDefault="00D81925" w:rsidP="00786582">
      <w:pPr>
        <w:jc w:val="center"/>
        <w:rPr>
          <w:sz w:val="22"/>
          <w:szCs w:val="22"/>
        </w:rPr>
      </w:pPr>
    </w:p>
    <w:p w14:paraId="0F7A1623" w14:textId="77777777" w:rsidR="00D81925" w:rsidRDefault="00D81925" w:rsidP="00786582">
      <w:pPr>
        <w:jc w:val="center"/>
        <w:rPr>
          <w:sz w:val="22"/>
          <w:szCs w:val="22"/>
        </w:rPr>
      </w:pPr>
    </w:p>
    <w:p w14:paraId="6999D699" w14:textId="3EEC6F64" w:rsidR="00BF53F8" w:rsidRDefault="00BF53F8" w:rsidP="00786582">
      <w:pPr>
        <w:jc w:val="center"/>
        <w:rPr>
          <w:sz w:val="22"/>
          <w:szCs w:val="22"/>
        </w:rPr>
      </w:pPr>
      <w:r>
        <w:rPr>
          <w:sz w:val="22"/>
          <w:szCs w:val="22"/>
        </w:rPr>
        <w:t>The restoration project was completed in 2012 and one of the goals of the project was to create a shallower groundwater table (level). Do you see this reflected in the data? Was the project successful in this aspect?</w:t>
      </w:r>
    </w:p>
    <w:p w14:paraId="35451D28" w14:textId="377C4FB0" w:rsidR="00BF53F8" w:rsidRDefault="00BF53F8" w:rsidP="00786582">
      <w:pPr>
        <w:jc w:val="center"/>
        <w:rPr>
          <w:sz w:val="22"/>
          <w:szCs w:val="22"/>
        </w:rPr>
      </w:pPr>
    </w:p>
    <w:p w14:paraId="3709E9B5" w14:textId="12578545" w:rsidR="00BF53F8" w:rsidRDefault="00BF53F8" w:rsidP="00786582">
      <w:pPr>
        <w:jc w:val="center"/>
        <w:rPr>
          <w:sz w:val="22"/>
          <w:szCs w:val="22"/>
        </w:rPr>
      </w:pPr>
    </w:p>
    <w:p w14:paraId="42A06A9A" w14:textId="1F267B2D" w:rsidR="00BF53F8" w:rsidRDefault="00BF53F8" w:rsidP="00786582">
      <w:pPr>
        <w:jc w:val="center"/>
        <w:rPr>
          <w:sz w:val="22"/>
          <w:szCs w:val="22"/>
        </w:rPr>
      </w:pPr>
    </w:p>
    <w:p w14:paraId="22503009" w14:textId="794F9611" w:rsidR="00BF53F8" w:rsidRDefault="00BF53F8" w:rsidP="00786582">
      <w:pPr>
        <w:jc w:val="center"/>
        <w:rPr>
          <w:sz w:val="22"/>
          <w:szCs w:val="22"/>
        </w:rPr>
      </w:pPr>
    </w:p>
    <w:p w14:paraId="7D3D1158" w14:textId="2ACF50E2" w:rsidR="00BF53F8" w:rsidRDefault="00BF53F8" w:rsidP="00786582">
      <w:pPr>
        <w:jc w:val="center"/>
        <w:rPr>
          <w:sz w:val="22"/>
          <w:szCs w:val="22"/>
        </w:rPr>
      </w:pPr>
    </w:p>
    <w:p w14:paraId="515B8E68" w14:textId="77777777" w:rsidR="00D81925" w:rsidRDefault="00D81925" w:rsidP="00D81925">
      <w:pPr>
        <w:jc w:val="center"/>
        <w:rPr>
          <w:sz w:val="22"/>
          <w:szCs w:val="22"/>
        </w:rPr>
      </w:pPr>
    </w:p>
    <w:p w14:paraId="18EA8815" w14:textId="77777777" w:rsidR="00D81925" w:rsidRDefault="00D81925" w:rsidP="00D81925">
      <w:pPr>
        <w:jc w:val="center"/>
        <w:rPr>
          <w:sz w:val="22"/>
          <w:szCs w:val="22"/>
        </w:rPr>
      </w:pPr>
    </w:p>
    <w:p w14:paraId="6E5EC7F0" w14:textId="40730DF0" w:rsidR="00BF53F8" w:rsidRPr="00786582" w:rsidRDefault="00D81925" w:rsidP="00D81925">
      <w:pPr>
        <w:jc w:val="center"/>
        <w:rPr>
          <w:sz w:val="22"/>
          <w:szCs w:val="22"/>
        </w:rPr>
      </w:pPr>
      <w:r>
        <w:rPr>
          <w:sz w:val="22"/>
          <w:szCs w:val="22"/>
        </w:rPr>
        <w:t>What are your predictions for the future of the groundwater at Camp Polk Preserve? How might several years of drought-like weather affect it?</w:t>
      </w:r>
    </w:p>
    <w:sectPr w:rsidR="00BF53F8" w:rsidRPr="00786582" w:rsidSect="00F609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37A2F"/>
    <w:multiLevelType w:val="multilevel"/>
    <w:tmpl w:val="5A96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60266D"/>
    <w:multiLevelType w:val="multilevel"/>
    <w:tmpl w:val="B5C0F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41"/>
    <w:rsid w:val="00090353"/>
    <w:rsid w:val="000E5A4F"/>
    <w:rsid w:val="00786582"/>
    <w:rsid w:val="009B1564"/>
    <w:rsid w:val="00A179DF"/>
    <w:rsid w:val="00BF53F8"/>
    <w:rsid w:val="00D81925"/>
    <w:rsid w:val="00F03293"/>
    <w:rsid w:val="00F60941"/>
    <w:rsid w:val="00F87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36D11F"/>
  <w15:chartTrackingRefBased/>
  <w15:docId w15:val="{8E8CDCFC-824E-D845-BDF1-DA591E07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094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0941"/>
  </w:style>
  <w:style w:type="character" w:styleId="Strong">
    <w:name w:val="Strong"/>
    <w:basedOn w:val="DefaultParagraphFont"/>
    <w:uiPriority w:val="22"/>
    <w:qFormat/>
    <w:rsid w:val="00D81925"/>
    <w:rPr>
      <w:b/>
      <w:bCs/>
    </w:rPr>
  </w:style>
  <w:style w:type="paragraph" w:styleId="ListParagraph">
    <w:name w:val="List Paragraph"/>
    <w:basedOn w:val="Normal"/>
    <w:uiPriority w:val="34"/>
    <w:qFormat/>
    <w:rsid w:val="00D81925"/>
    <w:pPr>
      <w:ind w:left="720"/>
      <w:contextualSpacing/>
    </w:pPr>
  </w:style>
  <w:style w:type="character" w:styleId="Hyperlink">
    <w:name w:val="Hyperlink"/>
    <w:basedOn w:val="DefaultParagraphFont"/>
    <w:uiPriority w:val="99"/>
    <w:unhideWhenUsed/>
    <w:rsid w:val="009B1564"/>
    <w:rPr>
      <w:color w:val="0563C1" w:themeColor="hyperlink"/>
      <w:u w:val="single"/>
    </w:rPr>
  </w:style>
  <w:style w:type="character" w:styleId="UnresolvedMention">
    <w:name w:val="Unresolved Mention"/>
    <w:basedOn w:val="DefaultParagraphFont"/>
    <w:uiPriority w:val="99"/>
    <w:semiHidden/>
    <w:unhideWhenUsed/>
    <w:rsid w:val="009B1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85429">
      <w:bodyDiv w:val="1"/>
      <w:marLeft w:val="0"/>
      <w:marRight w:val="0"/>
      <w:marTop w:val="0"/>
      <w:marBottom w:val="0"/>
      <w:divBdr>
        <w:top w:val="none" w:sz="0" w:space="0" w:color="auto"/>
        <w:left w:val="none" w:sz="0" w:space="0" w:color="auto"/>
        <w:bottom w:val="none" w:sz="0" w:space="0" w:color="auto"/>
        <w:right w:val="none" w:sz="0" w:space="0" w:color="auto"/>
      </w:divBdr>
      <w:divsChild>
        <w:div w:id="1967658716">
          <w:marLeft w:val="0"/>
          <w:marRight w:val="0"/>
          <w:marTop w:val="0"/>
          <w:marBottom w:val="0"/>
          <w:divBdr>
            <w:top w:val="none" w:sz="0" w:space="0" w:color="auto"/>
            <w:left w:val="none" w:sz="0" w:space="0" w:color="auto"/>
            <w:bottom w:val="none" w:sz="0" w:space="0" w:color="auto"/>
            <w:right w:val="none" w:sz="0" w:space="0" w:color="auto"/>
          </w:divBdr>
          <w:divsChild>
            <w:div w:id="423382381">
              <w:marLeft w:val="0"/>
              <w:marRight w:val="0"/>
              <w:marTop w:val="0"/>
              <w:marBottom w:val="0"/>
              <w:divBdr>
                <w:top w:val="none" w:sz="0" w:space="0" w:color="auto"/>
                <w:left w:val="none" w:sz="0" w:space="0" w:color="auto"/>
                <w:bottom w:val="none" w:sz="0" w:space="0" w:color="auto"/>
                <w:right w:val="none" w:sz="0" w:space="0" w:color="auto"/>
              </w:divBdr>
              <w:divsChild>
                <w:div w:id="19149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6329">
      <w:bodyDiv w:val="1"/>
      <w:marLeft w:val="0"/>
      <w:marRight w:val="0"/>
      <w:marTop w:val="0"/>
      <w:marBottom w:val="0"/>
      <w:divBdr>
        <w:top w:val="none" w:sz="0" w:space="0" w:color="auto"/>
        <w:left w:val="none" w:sz="0" w:space="0" w:color="auto"/>
        <w:bottom w:val="none" w:sz="0" w:space="0" w:color="auto"/>
        <w:right w:val="none" w:sz="0" w:space="0" w:color="auto"/>
      </w:divBdr>
    </w:div>
    <w:div w:id="577328413">
      <w:bodyDiv w:val="1"/>
      <w:marLeft w:val="0"/>
      <w:marRight w:val="0"/>
      <w:marTop w:val="0"/>
      <w:marBottom w:val="0"/>
      <w:divBdr>
        <w:top w:val="none" w:sz="0" w:space="0" w:color="auto"/>
        <w:left w:val="none" w:sz="0" w:space="0" w:color="auto"/>
        <w:bottom w:val="none" w:sz="0" w:space="0" w:color="auto"/>
        <w:right w:val="none" w:sz="0" w:space="0" w:color="auto"/>
      </w:divBdr>
      <w:divsChild>
        <w:div w:id="1557887949">
          <w:marLeft w:val="0"/>
          <w:marRight w:val="0"/>
          <w:marTop w:val="0"/>
          <w:marBottom w:val="0"/>
          <w:divBdr>
            <w:top w:val="none" w:sz="0" w:space="0" w:color="auto"/>
            <w:left w:val="none" w:sz="0" w:space="0" w:color="auto"/>
            <w:bottom w:val="none" w:sz="0" w:space="0" w:color="auto"/>
            <w:right w:val="none" w:sz="0" w:space="0" w:color="auto"/>
          </w:divBdr>
          <w:divsChild>
            <w:div w:id="644822632">
              <w:marLeft w:val="0"/>
              <w:marRight w:val="0"/>
              <w:marTop w:val="0"/>
              <w:marBottom w:val="0"/>
              <w:divBdr>
                <w:top w:val="none" w:sz="0" w:space="0" w:color="auto"/>
                <w:left w:val="none" w:sz="0" w:space="0" w:color="auto"/>
                <w:bottom w:val="none" w:sz="0" w:space="0" w:color="auto"/>
                <w:right w:val="none" w:sz="0" w:space="0" w:color="auto"/>
              </w:divBdr>
              <w:divsChild>
                <w:div w:id="14048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9652">
      <w:bodyDiv w:val="1"/>
      <w:marLeft w:val="0"/>
      <w:marRight w:val="0"/>
      <w:marTop w:val="0"/>
      <w:marBottom w:val="0"/>
      <w:divBdr>
        <w:top w:val="none" w:sz="0" w:space="0" w:color="auto"/>
        <w:left w:val="none" w:sz="0" w:space="0" w:color="auto"/>
        <w:bottom w:val="none" w:sz="0" w:space="0" w:color="auto"/>
        <w:right w:val="none" w:sz="0" w:space="0" w:color="auto"/>
      </w:divBdr>
    </w:div>
    <w:div w:id="1702170210">
      <w:bodyDiv w:val="1"/>
      <w:marLeft w:val="0"/>
      <w:marRight w:val="0"/>
      <w:marTop w:val="0"/>
      <w:marBottom w:val="0"/>
      <w:divBdr>
        <w:top w:val="none" w:sz="0" w:space="0" w:color="auto"/>
        <w:left w:val="none" w:sz="0" w:space="0" w:color="auto"/>
        <w:bottom w:val="none" w:sz="0" w:space="0" w:color="auto"/>
        <w:right w:val="none" w:sz="0" w:space="0" w:color="auto"/>
      </w:divBdr>
      <w:divsChild>
        <w:div w:id="853764693">
          <w:marLeft w:val="0"/>
          <w:marRight w:val="0"/>
          <w:marTop w:val="0"/>
          <w:marBottom w:val="0"/>
          <w:divBdr>
            <w:top w:val="none" w:sz="0" w:space="0" w:color="auto"/>
            <w:left w:val="none" w:sz="0" w:space="0" w:color="auto"/>
            <w:bottom w:val="none" w:sz="0" w:space="0" w:color="auto"/>
            <w:right w:val="none" w:sz="0" w:space="0" w:color="auto"/>
          </w:divBdr>
        </w:div>
      </w:divsChild>
    </w:div>
    <w:div w:id="1860047747">
      <w:bodyDiv w:val="1"/>
      <w:marLeft w:val="0"/>
      <w:marRight w:val="0"/>
      <w:marTop w:val="0"/>
      <w:marBottom w:val="0"/>
      <w:divBdr>
        <w:top w:val="none" w:sz="0" w:space="0" w:color="auto"/>
        <w:left w:val="none" w:sz="0" w:space="0" w:color="auto"/>
        <w:bottom w:val="none" w:sz="0" w:space="0" w:color="auto"/>
        <w:right w:val="none" w:sz="0" w:space="0" w:color="auto"/>
      </w:divBdr>
    </w:div>
    <w:div w:id="1985813954">
      <w:bodyDiv w:val="1"/>
      <w:marLeft w:val="0"/>
      <w:marRight w:val="0"/>
      <w:marTop w:val="0"/>
      <w:marBottom w:val="0"/>
      <w:divBdr>
        <w:top w:val="none" w:sz="0" w:space="0" w:color="auto"/>
        <w:left w:val="none" w:sz="0" w:space="0" w:color="auto"/>
        <w:bottom w:val="none" w:sz="0" w:space="0" w:color="auto"/>
        <w:right w:val="none" w:sz="0" w:space="0" w:color="auto"/>
      </w:divBdr>
      <w:divsChild>
        <w:div w:id="65343535">
          <w:marLeft w:val="0"/>
          <w:marRight w:val="0"/>
          <w:marTop w:val="0"/>
          <w:marBottom w:val="0"/>
          <w:divBdr>
            <w:top w:val="none" w:sz="0" w:space="0" w:color="auto"/>
            <w:left w:val="none" w:sz="0" w:space="0" w:color="auto"/>
            <w:bottom w:val="none" w:sz="0" w:space="0" w:color="auto"/>
            <w:right w:val="none" w:sz="0" w:space="0" w:color="auto"/>
          </w:divBdr>
          <w:divsChild>
            <w:div w:id="109713973">
              <w:marLeft w:val="0"/>
              <w:marRight w:val="0"/>
              <w:marTop w:val="0"/>
              <w:marBottom w:val="0"/>
              <w:divBdr>
                <w:top w:val="none" w:sz="0" w:space="0" w:color="auto"/>
                <w:left w:val="none" w:sz="0" w:space="0" w:color="auto"/>
                <w:bottom w:val="none" w:sz="0" w:space="0" w:color="auto"/>
                <w:right w:val="none" w:sz="0" w:space="0" w:color="auto"/>
              </w:divBdr>
              <w:divsChild>
                <w:div w:id="4612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9136">
      <w:bodyDiv w:val="1"/>
      <w:marLeft w:val="0"/>
      <w:marRight w:val="0"/>
      <w:marTop w:val="0"/>
      <w:marBottom w:val="0"/>
      <w:divBdr>
        <w:top w:val="none" w:sz="0" w:space="0" w:color="auto"/>
        <w:left w:val="none" w:sz="0" w:space="0" w:color="auto"/>
        <w:bottom w:val="none" w:sz="0" w:space="0" w:color="auto"/>
        <w:right w:val="none" w:sz="0" w:space="0" w:color="auto"/>
      </w:divBdr>
      <w:divsChild>
        <w:div w:id="893085249">
          <w:marLeft w:val="0"/>
          <w:marRight w:val="0"/>
          <w:marTop w:val="0"/>
          <w:marBottom w:val="0"/>
          <w:divBdr>
            <w:top w:val="none" w:sz="0" w:space="0" w:color="auto"/>
            <w:left w:val="none" w:sz="0" w:space="0" w:color="auto"/>
            <w:bottom w:val="none" w:sz="0" w:space="0" w:color="auto"/>
            <w:right w:val="none" w:sz="0" w:space="0" w:color="auto"/>
          </w:divBdr>
          <w:divsChild>
            <w:div w:id="105777356">
              <w:marLeft w:val="0"/>
              <w:marRight w:val="0"/>
              <w:marTop w:val="0"/>
              <w:marBottom w:val="0"/>
              <w:divBdr>
                <w:top w:val="none" w:sz="0" w:space="0" w:color="auto"/>
                <w:left w:val="none" w:sz="0" w:space="0" w:color="auto"/>
                <w:bottom w:val="none" w:sz="0" w:space="0" w:color="auto"/>
                <w:right w:val="none" w:sz="0" w:space="0" w:color="auto"/>
              </w:divBdr>
              <w:divsChild>
                <w:div w:id="618923272">
                  <w:marLeft w:val="0"/>
                  <w:marRight w:val="0"/>
                  <w:marTop w:val="0"/>
                  <w:marBottom w:val="0"/>
                  <w:divBdr>
                    <w:top w:val="none" w:sz="0" w:space="0" w:color="auto"/>
                    <w:left w:val="none" w:sz="0" w:space="0" w:color="auto"/>
                    <w:bottom w:val="none" w:sz="0" w:space="0" w:color="auto"/>
                    <w:right w:val="none" w:sz="0" w:space="0" w:color="auto"/>
                  </w:divBdr>
                </w:div>
              </w:divsChild>
            </w:div>
            <w:div w:id="1752502465">
              <w:marLeft w:val="0"/>
              <w:marRight w:val="0"/>
              <w:marTop w:val="0"/>
              <w:marBottom w:val="0"/>
              <w:divBdr>
                <w:top w:val="none" w:sz="0" w:space="0" w:color="auto"/>
                <w:left w:val="none" w:sz="0" w:space="0" w:color="auto"/>
                <w:bottom w:val="none" w:sz="0" w:space="0" w:color="auto"/>
                <w:right w:val="none" w:sz="0" w:space="0" w:color="auto"/>
              </w:divBdr>
              <w:divsChild>
                <w:div w:id="387806189">
                  <w:marLeft w:val="0"/>
                  <w:marRight w:val="0"/>
                  <w:marTop w:val="0"/>
                  <w:marBottom w:val="0"/>
                  <w:divBdr>
                    <w:top w:val="none" w:sz="0" w:space="0" w:color="auto"/>
                    <w:left w:val="none" w:sz="0" w:space="0" w:color="auto"/>
                    <w:bottom w:val="none" w:sz="0" w:space="0" w:color="auto"/>
                    <w:right w:val="none" w:sz="0" w:space="0" w:color="auto"/>
                  </w:divBdr>
                </w:div>
              </w:divsChild>
            </w:div>
            <w:div w:id="1746607887">
              <w:marLeft w:val="0"/>
              <w:marRight w:val="0"/>
              <w:marTop w:val="0"/>
              <w:marBottom w:val="0"/>
              <w:divBdr>
                <w:top w:val="none" w:sz="0" w:space="0" w:color="auto"/>
                <w:left w:val="none" w:sz="0" w:space="0" w:color="auto"/>
                <w:bottom w:val="none" w:sz="0" w:space="0" w:color="auto"/>
                <w:right w:val="none" w:sz="0" w:space="0" w:color="auto"/>
              </w:divBdr>
              <w:divsChild>
                <w:div w:id="1302080004">
                  <w:marLeft w:val="0"/>
                  <w:marRight w:val="0"/>
                  <w:marTop w:val="0"/>
                  <w:marBottom w:val="0"/>
                  <w:divBdr>
                    <w:top w:val="none" w:sz="0" w:space="0" w:color="auto"/>
                    <w:left w:val="none" w:sz="0" w:space="0" w:color="auto"/>
                    <w:bottom w:val="none" w:sz="0" w:space="0" w:color="auto"/>
                    <w:right w:val="none" w:sz="0" w:space="0" w:color="auto"/>
                  </w:divBdr>
                </w:div>
              </w:divsChild>
            </w:div>
            <w:div w:id="1635985639">
              <w:marLeft w:val="0"/>
              <w:marRight w:val="0"/>
              <w:marTop w:val="0"/>
              <w:marBottom w:val="0"/>
              <w:divBdr>
                <w:top w:val="none" w:sz="0" w:space="0" w:color="auto"/>
                <w:left w:val="none" w:sz="0" w:space="0" w:color="auto"/>
                <w:bottom w:val="none" w:sz="0" w:space="0" w:color="auto"/>
                <w:right w:val="none" w:sz="0" w:space="0" w:color="auto"/>
              </w:divBdr>
              <w:divsChild>
                <w:div w:id="3907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mQ8tMyYSd0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Grove</dc:creator>
  <cp:keywords/>
  <dc:description/>
  <cp:lastModifiedBy>Alyssa Grove</cp:lastModifiedBy>
  <cp:revision>3</cp:revision>
  <dcterms:created xsi:type="dcterms:W3CDTF">2020-05-19T15:17:00Z</dcterms:created>
  <dcterms:modified xsi:type="dcterms:W3CDTF">2020-05-19T19:04:00Z</dcterms:modified>
</cp:coreProperties>
</file>